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73" w:rsidRPr="00712573" w:rsidRDefault="00712573" w:rsidP="00F57E10">
      <w:pPr>
        <w:pStyle w:val="Heading1"/>
        <w:rPr>
          <w:sz w:val="24"/>
          <w:szCs w:val="24"/>
          <w:u w:val="single"/>
        </w:rPr>
      </w:pPr>
      <w:r>
        <w:rPr>
          <w:noProof/>
        </w:rPr>
        <w:drawing>
          <wp:inline distT="0" distB="0" distL="0" distR="0" wp14:anchorId="578B5C1D" wp14:editId="1859A199">
            <wp:extent cx="1352550" cy="733425"/>
            <wp:effectExtent l="19050" t="0" r="0" b="0"/>
            <wp:docPr id="6" name="Picture 6" descr="KPMG_Plus_Strapline_CMYK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MG_Plus_Strapline_CMYK_US"/>
                    <pic:cNvPicPr>
                      <a:picLocks noChangeAspect="1" noChangeArrowheads="1"/>
                    </pic:cNvPicPr>
                  </pic:nvPicPr>
                  <pic:blipFill>
                    <a:blip r:embed="rId6" cstate="print"/>
                    <a:srcRect/>
                    <a:stretch>
                      <a:fillRect/>
                    </a:stretch>
                  </pic:blipFill>
                  <pic:spPr bwMode="auto">
                    <a:xfrm>
                      <a:off x="0" y="0"/>
                      <a:ext cx="1352550" cy="733425"/>
                    </a:xfrm>
                    <a:prstGeom prst="rect">
                      <a:avLst/>
                    </a:prstGeom>
                    <a:noFill/>
                    <a:ln w="9525">
                      <a:noFill/>
                      <a:miter lim="800000"/>
                      <a:headEnd/>
                      <a:tailEnd/>
                    </a:ln>
                  </pic:spPr>
                </pic:pic>
              </a:graphicData>
            </a:graphic>
          </wp:inline>
        </w:drawing>
      </w:r>
      <w:r w:rsidRPr="00712573">
        <w:br/>
      </w:r>
      <w:r>
        <w:rPr>
          <w:sz w:val="24"/>
          <w:szCs w:val="24"/>
          <w:u w:val="single"/>
        </w:rPr>
        <w:t>Press Release KPMG – 10</w:t>
      </w:r>
      <w:r w:rsidRPr="00712573">
        <w:rPr>
          <w:sz w:val="24"/>
          <w:szCs w:val="24"/>
          <w:u w:val="single"/>
        </w:rPr>
        <w:t xml:space="preserve"> Februar</w:t>
      </w:r>
      <w:r>
        <w:rPr>
          <w:sz w:val="24"/>
          <w:szCs w:val="24"/>
          <w:u w:val="single"/>
        </w:rPr>
        <w:t>y</w:t>
      </w:r>
      <w:bookmarkStart w:id="0" w:name="_GoBack"/>
      <w:bookmarkEnd w:id="0"/>
      <w:r w:rsidRPr="00712573">
        <w:rPr>
          <w:sz w:val="24"/>
          <w:szCs w:val="24"/>
          <w:u w:val="single"/>
        </w:rPr>
        <w:t xml:space="preserve"> 2014</w:t>
      </w:r>
    </w:p>
    <w:p w:rsidR="00F57E10" w:rsidRDefault="007A15E4" w:rsidP="00F57E10">
      <w:pPr>
        <w:pStyle w:val="Heading1"/>
      </w:pPr>
      <w:r>
        <w:t>Always one step ahead,</w:t>
      </w:r>
      <w:r w:rsidR="001A281B">
        <w:t xml:space="preserve"> says KPMG</w:t>
      </w:r>
      <w:r w:rsidR="00F57E10">
        <w:t xml:space="preserve"> </w:t>
      </w:r>
    </w:p>
    <w:p w:rsidR="00F57E10" w:rsidRDefault="00F57E10" w:rsidP="00F57E10">
      <w:pPr>
        <w:ind w:left="720"/>
        <w:rPr>
          <w:rFonts w:ascii="Arial" w:hAnsi="Arial" w:cs="Arial"/>
          <w:b/>
          <w:bCs/>
          <w:sz w:val="20"/>
          <w:szCs w:val="20"/>
        </w:rPr>
      </w:pPr>
    </w:p>
    <w:p w:rsidR="00311B88" w:rsidRDefault="00467035" w:rsidP="00B42B2E">
      <w:pPr>
        <w:rPr>
          <w:rFonts w:ascii="Arial" w:hAnsi="Arial" w:cs="Arial"/>
          <w:sz w:val="20"/>
          <w:szCs w:val="20"/>
        </w:rPr>
      </w:pPr>
      <w:r>
        <w:rPr>
          <w:rFonts w:ascii="Arial" w:hAnsi="Arial" w:cs="Arial"/>
          <w:b/>
          <w:sz w:val="20"/>
          <w:szCs w:val="20"/>
        </w:rPr>
        <w:t>KPMG’s Executive Committee</w:t>
      </w:r>
      <w:r w:rsidR="006A69BB">
        <w:rPr>
          <w:rFonts w:ascii="Arial" w:hAnsi="Arial" w:cs="Arial"/>
          <w:sz w:val="20"/>
          <w:szCs w:val="20"/>
        </w:rPr>
        <w:t xml:space="preserve"> explains how KPMG Luxembourg has under</w:t>
      </w:r>
      <w:r w:rsidR="001B4F45">
        <w:rPr>
          <w:rFonts w:ascii="Arial" w:hAnsi="Arial" w:cs="Arial"/>
          <w:sz w:val="20"/>
          <w:szCs w:val="20"/>
        </w:rPr>
        <w:t>gone a transformation in 2013,</w:t>
      </w:r>
      <w:r w:rsidR="006A69BB">
        <w:rPr>
          <w:rFonts w:ascii="Arial" w:hAnsi="Arial" w:cs="Arial"/>
          <w:sz w:val="20"/>
          <w:szCs w:val="20"/>
        </w:rPr>
        <w:t xml:space="preserve"> </w:t>
      </w:r>
      <w:r w:rsidR="001B4F45">
        <w:rPr>
          <w:rFonts w:ascii="Arial" w:hAnsi="Arial" w:cs="Arial"/>
          <w:sz w:val="20"/>
          <w:szCs w:val="20"/>
        </w:rPr>
        <w:t xml:space="preserve">by </w:t>
      </w:r>
      <w:r w:rsidR="006A69BB">
        <w:rPr>
          <w:rFonts w:ascii="Arial" w:hAnsi="Arial" w:cs="Arial"/>
          <w:sz w:val="20"/>
          <w:szCs w:val="20"/>
        </w:rPr>
        <w:t>taking a long-term, sustainable approach to business.</w:t>
      </w:r>
      <w:r w:rsidR="00311B88">
        <w:rPr>
          <w:rFonts w:ascii="Arial" w:hAnsi="Arial" w:cs="Arial"/>
          <w:sz w:val="20"/>
          <w:szCs w:val="20"/>
        </w:rPr>
        <w:t xml:space="preserve"> </w:t>
      </w:r>
    </w:p>
    <w:p w:rsidR="00467035" w:rsidRDefault="00467035" w:rsidP="00B42B2E">
      <w:pPr>
        <w:rPr>
          <w:rFonts w:ascii="Arial" w:hAnsi="Arial" w:cs="Arial"/>
          <w:sz w:val="20"/>
          <w:szCs w:val="20"/>
        </w:rPr>
      </w:pPr>
    </w:p>
    <w:p w:rsidR="00BF57CA" w:rsidRDefault="00BF57CA" w:rsidP="00BF57CA">
      <w:pPr>
        <w:pStyle w:val="Heading2"/>
      </w:pPr>
      <w:r>
        <w:rPr>
          <w:rFonts w:ascii="Arial" w:eastAsiaTheme="minorEastAsia" w:hAnsi="Arial" w:cs="Arial"/>
          <w:b/>
          <w:color w:val="auto"/>
          <w:sz w:val="20"/>
          <w:szCs w:val="20"/>
        </w:rPr>
        <w:t>Georges Bock, Managing Partner</w:t>
      </w:r>
    </w:p>
    <w:p w:rsidR="00C016D2" w:rsidRDefault="00BF57CA" w:rsidP="00BF57CA">
      <w:pPr>
        <w:rPr>
          <w:rFonts w:ascii="Arial" w:hAnsi="Arial" w:cs="Arial"/>
          <w:sz w:val="20"/>
          <w:szCs w:val="20"/>
        </w:rPr>
      </w:pPr>
      <w:r>
        <w:rPr>
          <w:rFonts w:ascii="Arial" w:hAnsi="Arial" w:cs="Arial"/>
          <w:sz w:val="20"/>
          <w:szCs w:val="20"/>
        </w:rPr>
        <w:t xml:space="preserve"> </w:t>
      </w:r>
      <w:r w:rsidR="00467035">
        <w:rPr>
          <w:rFonts w:ascii="Arial" w:hAnsi="Arial" w:cs="Arial"/>
          <w:sz w:val="20"/>
          <w:szCs w:val="20"/>
        </w:rPr>
        <w:t>“</w:t>
      </w:r>
      <w:r w:rsidR="00631A8B">
        <w:rPr>
          <w:rFonts w:ascii="Arial" w:hAnsi="Arial" w:cs="Arial"/>
          <w:sz w:val="20"/>
          <w:szCs w:val="20"/>
        </w:rPr>
        <w:t>A</w:t>
      </w:r>
      <w:r w:rsidR="00F57E10" w:rsidRPr="00F57E10">
        <w:rPr>
          <w:rFonts w:ascii="Arial" w:hAnsi="Arial" w:cs="Arial"/>
          <w:sz w:val="20"/>
          <w:szCs w:val="20"/>
        </w:rPr>
        <w:t xml:space="preserve">nticipating the next </w:t>
      </w:r>
      <w:r w:rsidR="00F90F1A">
        <w:rPr>
          <w:rFonts w:ascii="Arial" w:hAnsi="Arial" w:cs="Arial"/>
          <w:sz w:val="20"/>
          <w:szCs w:val="20"/>
        </w:rPr>
        <w:t>lasting</w:t>
      </w:r>
      <w:r w:rsidR="009E0612">
        <w:rPr>
          <w:rFonts w:ascii="Arial" w:hAnsi="Arial" w:cs="Arial"/>
          <w:sz w:val="20"/>
          <w:szCs w:val="20"/>
        </w:rPr>
        <w:t xml:space="preserve"> trend</w:t>
      </w:r>
      <w:r w:rsidR="00F57E10" w:rsidRPr="00F57E10">
        <w:rPr>
          <w:rFonts w:ascii="Arial" w:hAnsi="Arial" w:cs="Arial"/>
          <w:sz w:val="20"/>
          <w:szCs w:val="20"/>
        </w:rPr>
        <w:t xml:space="preserve"> is as crucial</w:t>
      </w:r>
      <w:r w:rsidR="00E30E25">
        <w:rPr>
          <w:rFonts w:ascii="Arial" w:hAnsi="Arial" w:cs="Arial"/>
          <w:sz w:val="20"/>
          <w:szCs w:val="20"/>
        </w:rPr>
        <w:t xml:space="preserve"> as </w:t>
      </w:r>
      <w:r w:rsidR="005C638D">
        <w:rPr>
          <w:rFonts w:ascii="Arial" w:hAnsi="Arial" w:cs="Arial"/>
          <w:sz w:val="20"/>
          <w:szCs w:val="20"/>
        </w:rPr>
        <w:t xml:space="preserve">excelling in operations today. </w:t>
      </w:r>
      <w:r w:rsidR="00BF3526">
        <w:rPr>
          <w:rFonts w:ascii="Arial" w:hAnsi="Arial" w:cs="Arial"/>
          <w:sz w:val="20"/>
          <w:szCs w:val="20"/>
        </w:rPr>
        <w:t xml:space="preserve">Companies </w:t>
      </w:r>
      <w:r w:rsidR="00AF305E">
        <w:rPr>
          <w:rFonts w:ascii="Arial" w:hAnsi="Arial" w:cs="Arial"/>
          <w:sz w:val="20"/>
          <w:szCs w:val="20"/>
        </w:rPr>
        <w:t>with</w:t>
      </w:r>
      <w:r w:rsidR="00BF3526">
        <w:rPr>
          <w:rFonts w:ascii="Arial" w:hAnsi="Arial" w:cs="Arial"/>
          <w:sz w:val="20"/>
          <w:szCs w:val="20"/>
        </w:rPr>
        <w:t xml:space="preserve"> one eye on the future consistently outclass their competitors – </w:t>
      </w:r>
      <w:r w:rsidR="00144942">
        <w:rPr>
          <w:rFonts w:ascii="Arial" w:hAnsi="Arial" w:cs="Arial"/>
          <w:sz w:val="20"/>
          <w:szCs w:val="20"/>
        </w:rPr>
        <w:t>we</w:t>
      </w:r>
      <w:r w:rsidR="00CB6EC7">
        <w:rPr>
          <w:rFonts w:ascii="Arial" w:hAnsi="Arial" w:cs="Arial"/>
          <w:sz w:val="20"/>
          <w:szCs w:val="20"/>
        </w:rPr>
        <w:t xml:space="preserve"> want to help our clients to be </w:t>
      </w:r>
      <w:r w:rsidR="005D5D44">
        <w:rPr>
          <w:rFonts w:ascii="Arial" w:hAnsi="Arial" w:cs="Arial"/>
          <w:sz w:val="20"/>
          <w:szCs w:val="20"/>
        </w:rPr>
        <w:t>this kind of forward-thinking company</w:t>
      </w:r>
      <w:r w:rsidR="00CB6EC7">
        <w:rPr>
          <w:rFonts w:ascii="Arial" w:hAnsi="Arial" w:cs="Arial"/>
          <w:sz w:val="20"/>
          <w:szCs w:val="20"/>
        </w:rPr>
        <w:t>.</w:t>
      </w:r>
      <w:r w:rsidR="00144942">
        <w:rPr>
          <w:rFonts w:ascii="Arial" w:hAnsi="Arial" w:cs="Arial"/>
          <w:sz w:val="20"/>
          <w:szCs w:val="20"/>
        </w:rPr>
        <w:t xml:space="preserve"> </w:t>
      </w:r>
      <w:r w:rsidR="005D5D44">
        <w:rPr>
          <w:rFonts w:ascii="Arial" w:hAnsi="Arial" w:cs="Arial"/>
          <w:sz w:val="20"/>
          <w:szCs w:val="20"/>
        </w:rPr>
        <w:t xml:space="preserve">To do this, </w:t>
      </w:r>
      <w:r w:rsidR="00144942">
        <w:rPr>
          <w:rFonts w:ascii="Arial" w:hAnsi="Arial" w:cs="Arial"/>
          <w:sz w:val="20"/>
          <w:szCs w:val="20"/>
        </w:rPr>
        <w:t>we have</w:t>
      </w:r>
      <w:r w:rsidR="00B43FF3">
        <w:rPr>
          <w:rFonts w:ascii="Arial" w:hAnsi="Arial" w:cs="Arial"/>
          <w:sz w:val="20"/>
          <w:szCs w:val="20"/>
        </w:rPr>
        <w:t xml:space="preserve"> </w:t>
      </w:r>
      <w:r w:rsidR="00B42B2E">
        <w:rPr>
          <w:rFonts w:ascii="Arial" w:hAnsi="Arial" w:cs="Arial"/>
          <w:sz w:val="20"/>
          <w:szCs w:val="20"/>
        </w:rPr>
        <w:t xml:space="preserve">identified </w:t>
      </w:r>
      <w:r w:rsidR="009E0612">
        <w:rPr>
          <w:rFonts w:ascii="Arial" w:hAnsi="Arial" w:cs="Arial"/>
          <w:sz w:val="20"/>
          <w:szCs w:val="20"/>
        </w:rPr>
        <w:t xml:space="preserve">major global </w:t>
      </w:r>
      <w:r w:rsidR="00BF3526">
        <w:rPr>
          <w:rFonts w:ascii="Arial" w:hAnsi="Arial" w:cs="Arial"/>
          <w:sz w:val="20"/>
          <w:szCs w:val="20"/>
        </w:rPr>
        <w:t xml:space="preserve">megatrends that </w:t>
      </w:r>
      <w:r w:rsidR="009E0612">
        <w:rPr>
          <w:rFonts w:ascii="Arial" w:hAnsi="Arial" w:cs="Arial"/>
          <w:sz w:val="20"/>
          <w:szCs w:val="20"/>
        </w:rPr>
        <w:t xml:space="preserve">will also </w:t>
      </w:r>
      <w:r w:rsidR="00B43FF3">
        <w:rPr>
          <w:rFonts w:ascii="Arial" w:hAnsi="Arial" w:cs="Arial"/>
          <w:sz w:val="20"/>
          <w:szCs w:val="20"/>
        </w:rPr>
        <w:t>hav</w:t>
      </w:r>
      <w:r w:rsidR="00BC05C4">
        <w:rPr>
          <w:rFonts w:ascii="Arial" w:hAnsi="Arial" w:cs="Arial"/>
          <w:sz w:val="20"/>
          <w:szCs w:val="20"/>
        </w:rPr>
        <w:t>e</w:t>
      </w:r>
      <w:r w:rsidR="00B43FF3">
        <w:rPr>
          <w:rFonts w:ascii="Arial" w:hAnsi="Arial" w:cs="Arial"/>
          <w:sz w:val="20"/>
          <w:szCs w:val="20"/>
        </w:rPr>
        <w:t xml:space="preserve"> a significant transversal</w:t>
      </w:r>
      <w:r w:rsidR="00C90D9E">
        <w:rPr>
          <w:rFonts w:ascii="Arial" w:hAnsi="Arial" w:cs="Arial"/>
          <w:sz w:val="20"/>
          <w:szCs w:val="20"/>
        </w:rPr>
        <w:t xml:space="preserve"> impact</w:t>
      </w:r>
      <w:r w:rsidR="00B43FF3">
        <w:rPr>
          <w:rFonts w:ascii="Arial" w:hAnsi="Arial" w:cs="Arial"/>
          <w:sz w:val="20"/>
          <w:szCs w:val="20"/>
        </w:rPr>
        <w:t xml:space="preserve"> on </w:t>
      </w:r>
      <w:r w:rsidR="009E0612">
        <w:rPr>
          <w:rFonts w:ascii="Arial" w:hAnsi="Arial" w:cs="Arial"/>
          <w:sz w:val="20"/>
          <w:szCs w:val="20"/>
        </w:rPr>
        <w:t xml:space="preserve">Luxembourg and </w:t>
      </w:r>
      <w:r w:rsidR="005D5D44">
        <w:rPr>
          <w:rFonts w:ascii="Arial" w:hAnsi="Arial" w:cs="Arial"/>
          <w:sz w:val="20"/>
          <w:szCs w:val="20"/>
        </w:rPr>
        <w:t xml:space="preserve">across many different sectors. </w:t>
      </w:r>
      <w:r w:rsidR="009E0612">
        <w:rPr>
          <w:rFonts w:ascii="Arial" w:hAnsi="Arial" w:cs="Arial"/>
          <w:sz w:val="20"/>
          <w:szCs w:val="20"/>
        </w:rPr>
        <w:t>KPMG Luxembourg</w:t>
      </w:r>
      <w:r w:rsidR="00F90F1A">
        <w:rPr>
          <w:rFonts w:ascii="Arial" w:hAnsi="Arial" w:cs="Arial"/>
          <w:sz w:val="20"/>
          <w:szCs w:val="20"/>
        </w:rPr>
        <w:t xml:space="preserve"> has identified</w:t>
      </w:r>
      <w:r w:rsidR="009E0612">
        <w:rPr>
          <w:rFonts w:ascii="Arial" w:hAnsi="Arial" w:cs="Arial"/>
          <w:sz w:val="20"/>
          <w:szCs w:val="20"/>
        </w:rPr>
        <w:t xml:space="preserve"> </w:t>
      </w:r>
      <w:r w:rsidR="00B42B2E">
        <w:rPr>
          <w:rFonts w:ascii="Arial" w:hAnsi="Arial" w:cs="Arial"/>
          <w:sz w:val="20"/>
          <w:szCs w:val="20"/>
        </w:rPr>
        <w:t xml:space="preserve">Economic Interconnectedness, </w:t>
      </w:r>
      <w:r w:rsidR="009E33BF">
        <w:rPr>
          <w:rFonts w:ascii="Arial" w:hAnsi="Arial" w:cs="Arial"/>
          <w:sz w:val="20"/>
          <w:szCs w:val="20"/>
        </w:rPr>
        <w:t>Enabling Technology</w:t>
      </w:r>
      <w:r w:rsidR="00B42B2E">
        <w:rPr>
          <w:rFonts w:ascii="Arial" w:hAnsi="Arial" w:cs="Arial"/>
          <w:sz w:val="20"/>
          <w:szCs w:val="20"/>
        </w:rPr>
        <w:t xml:space="preserve"> </w:t>
      </w:r>
      <w:r w:rsidR="009E33BF">
        <w:rPr>
          <w:rFonts w:ascii="Arial" w:hAnsi="Arial" w:cs="Arial"/>
          <w:sz w:val="20"/>
          <w:szCs w:val="20"/>
        </w:rPr>
        <w:t>and Economic</w:t>
      </w:r>
      <w:r w:rsidR="00B42B2E">
        <w:rPr>
          <w:rFonts w:ascii="Arial" w:hAnsi="Arial" w:cs="Arial"/>
          <w:sz w:val="20"/>
          <w:szCs w:val="20"/>
        </w:rPr>
        <w:t xml:space="preserve"> Power</w:t>
      </w:r>
      <w:r w:rsidR="0038794B">
        <w:rPr>
          <w:rFonts w:ascii="Arial" w:hAnsi="Arial" w:cs="Arial"/>
          <w:sz w:val="20"/>
          <w:szCs w:val="20"/>
        </w:rPr>
        <w:t xml:space="preserve"> Shift</w:t>
      </w:r>
      <w:r w:rsidR="00F90F1A">
        <w:rPr>
          <w:rFonts w:ascii="Arial" w:hAnsi="Arial" w:cs="Arial"/>
          <w:sz w:val="20"/>
          <w:szCs w:val="20"/>
        </w:rPr>
        <w:t xml:space="preserve"> as the </w:t>
      </w:r>
      <w:r w:rsidR="0017467E">
        <w:rPr>
          <w:rFonts w:ascii="Arial" w:hAnsi="Arial" w:cs="Arial"/>
          <w:sz w:val="20"/>
          <w:szCs w:val="20"/>
        </w:rPr>
        <w:t>main driving forces</w:t>
      </w:r>
      <w:r w:rsidR="009E0612">
        <w:rPr>
          <w:rFonts w:ascii="Arial" w:hAnsi="Arial" w:cs="Arial"/>
          <w:sz w:val="20"/>
          <w:szCs w:val="20"/>
        </w:rPr>
        <w:t xml:space="preserve"> which will significantly impact</w:t>
      </w:r>
      <w:r w:rsidR="0017467E">
        <w:rPr>
          <w:rFonts w:ascii="Arial" w:hAnsi="Arial" w:cs="Arial"/>
          <w:sz w:val="20"/>
          <w:szCs w:val="20"/>
        </w:rPr>
        <w:t xml:space="preserve"> </w:t>
      </w:r>
      <w:r w:rsidR="009E0612">
        <w:rPr>
          <w:rFonts w:ascii="Arial" w:hAnsi="Arial" w:cs="Arial"/>
          <w:sz w:val="20"/>
          <w:szCs w:val="20"/>
        </w:rPr>
        <w:t>Luxembourg</w:t>
      </w:r>
      <w:r w:rsidR="00631A8B">
        <w:rPr>
          <w:rFonts w:ascii="Arial" w:hAnsi="Arial" w:cs="Arial"/>
          <w:sz w:val="20"/>
          <w:szCs w:val="20"/>
        </w:rPr>
        <w:t xml:space="preserve"> and its </w:t>
      </w:r>
      <w:r w:rsidR="009E0612">
        <w:rPr>
          <w:rFonts w:ascii="Arial" w:hAnsi="Arial" w:cs="Arial"/>
          <w:sz w:val="20"/>
          <w:szCs w:val="20"/>
        </w:rPr>
        <w:t>financial sector</w:t>
      </w:r>
      <w:r w:rsidR="00F90F1A">
        <w:rPr>
          <w:rFonts w:ascii="Arial" w:hAnsi="Arial" w:cs="Arial"/>
          <w:sz w:val="20"/>
          <w:szCs w:val="20"/>
        </w:rPr>
        <w:t xml:space="preserve"> in the </w:t>
      </w:r>
      <w:r w:rsidR="009E0612">
        <w:rPr>
          <w:rFonts w:ascii="Arial" w:hAnsi="Arial" w:cs="Arial"/>
          <w:sz w:val="20"/>
          <w:szCs w:val="20"/>
        </w:rPr>
        <w:t>coming years</w:t>
      </w:r>
      <w:r w:rsidR="00F90F1A">
        <w:rPr>
          <w:rFonts w:ascii="Arial" w:hAnsi="Arial" w:cs="Arial"/>
          <w:sz w:val="20"/>
          <w:szCs w:val="20"/>
        </w:rPr>
        <w:t>.</w:t>
      </w:r>
      <w:r w:rsidR="00631A8B">
        <w:rPr>
          <w:rFonts w:ascii="Arial" w:hAnsi="Arial" w:cs="Arial"/>
          <w:sz w:val="20"/>
          <w:szCs w:val="20"/>
        </w:rPr>
        <w:t xml:space="preserve"> </w:t>
      </w:r>
      <w:r w:rsidR="00F90F1A">
        <w:rPr>
          <w:rFonts w:ascii="Arial" w:hAnsi="Arial" w:cs="Arial"/>
          <w:sz w:val="20"/>
          <w:szCs w:val="20"/>
        </w:rPr>
        <w:t>T</w:t>
      </w:r>
      <w:r w:rsidR="0038794B">
        <w:rPr>
          <w:rFonts w:ascii="Arial" w:hAnsi="Arial" w:cs="Arial"/>
          <w:sz w:val="20"/>
          <w:szCs w:val="20"/>
        </w:rPr>
        <w:t xml:space="preserve">he </w:t>
      </w:r>
      <w:r w:rsidR="00F90F1A">
        <w:rPr>
          <w:rFonts w:ascii="Arial" w:hAnsi="Arial" w:cs="Arial"/>
          <w:sz w:val="20"/>
          <w:szCs w:val="20"/>
        </w:rPr>
        <w:t>agility with which</w:t>
      </w:r>
      <w:r w:rsidR="009E33BF">
        <w:rPr>
          <w:rFonts w:ascii="Arial" w:hAnsi="Arial" w:cs="Arial"/>
          <w:sz w:val="20"/>
          <w:szCs w:val="20"/>
        </w:rPr>
        <w:t xml:space="preserve"> clients respond to </w:t>
      </w:r>
      <w:r w:rsidR="00B42B2E">
        <w:rPr>
          <w:rFonts w:ascii="Arial" w:hAnsi="Arial" w:cs="Arial"/>
          <w:sz w:val="20"/>
          <w:szCs w:val="20"/>
        </w:rPr>
        <w:t xml:space="preserve">these </w:t>
      </w:r>
      <w:r w:rsidR="00B0088E">
        <w:rPr>
          <w:rFonts w:ascii="Arial" w:hAnsi="Arial" w:cs="Arial"/>
          <w:sz w:val="20"/>
          <w:szCs w:val="20"/>
        </w:rPr>
        <w:t>developments</w:t>
      </w:r>
      <w:r w:rsidR="009E33BF">
        <w:rPr>
          <w:rFonts w:ascii="Arial" w:hAnsi="Arial" w:cs="Arial"/>
          <w:sz w:val="20"/>
          <w:szCs w:val="20"/>
        </w:rPr>
        <w:t xml:space="preserve"> now</w:t>
      </w:r>
      <w:r w:rsidR="00B42B2E">
        <w:rPr>
          <w:rFonts w:ascii="Arial" w:hAnsi="Arial" w:cs="Arial"/>
          <w:sz w:val="20"/>
          <w:szCs w:val="20"/>
        </w:rPr>
        <w:t xml:space="preserve"> </w:t>
      </w:r>
      <w:r w:rsidR="005D5D44">
        <w:rPr>
          <w:rFonts w:ascii="Arial" w:hAnsi="Arial" w:cs="Arial"/>
          <w:sz w:val="20"/>
          <w:szCs w:val="20"/>
        </w:rPr>
        <w:t xml:space="preserve">will </w:t>
      </w:r>
      <w:r w:rsidR="009E33BF">
        <w:rPr>
          <w:rFonts w:ascii="Arial" w:hAnsi="Arial" w:cs="Arial"/>
          <w:sz w:val="20"/>
          <w:szCs w:val="20"/>
        </w:rPr>
        <w:t>shape their</w:t>
      </w:r>
      <w:r w:rsidR="0038794B">
        <w:rPr>
          <w:rFonts w:ascii="Arial" w:hAnsi="Arial" w:cs="Arial"/>
          <w:sz w:val="20"/>
          <w:szCs w:val="20"/>
        </w:rPr>
        <w:t xml:space="preserve"> future in </w:t>
      </w:r>
      <w:r w:rsidR="005D5D44">
        <w:rPr>
          <w:rFonts w:ascii="Arial" w:hAnsi="Arial" w:cs="Arial"/>
          <w:sz w:val="20"/>
          <w:szCs w:val="20"/>
        </w:rPr>
        <w:t xml:space="preserve">years to come. </w:t>
      </w:r>
    </w:p>
    <w:p w:rsidR="00C016D2" w:rsidRDefault="00C016D2" w:rsidP="00B42B2E">
      <w:pPr>
        <w:rPr>
          <w:rFonts w:ascii="Arial" w:hAnsi="Arial" w:cs="Arial"/>
          <w:sz w:val="20"/>
          <w:szCs w:val="20"/>
        </w:rPr>
      </w:pPr>
    </w:p>
    <w:p w:rsidR="00B42B2E" w:rsidRPr="00C016D2" w:rsidRDefault="00C016D2" w:rsidP="00B42B2E">
      <w:pPr>
        <w:rPr>
          <w:rFonts w:ascii="Arial" w:hAnsi="Arial" w:cs="Arial"/>
          <w:color w:val="1F497D"/>
          <w:sz w:val="20"/>
          <w:szCs w:val="20"/>
        </w:rPr>
      </w:pPr>
      <w:r>
        <w:rPr>
          <w:rFonts w:ascii="Arial" w:hAnsi="Arial" w:cs="Arial"/>
          <w:sz w:val="20"/>
          <w:szCs w:val="20"/>
        </w:rPr>
        <w:t>KPMG</w:t>
      </w:r>
      <w:r w:rsidR="00B0088E">
        <w:rPr>
          <w:rFonts w:ascii="Arial" w:hAnsi="Arial" w:cs="Arial"/>
          <w:sz w:val="20"/>
          <w:szCs w:val="20"/>
        </w:rPr>
        <w:t xml:space="preserve"> see</w:t>
      </w:r>
      <w:r>
        <w:rPr>
          <w:rFonts w:ascii="Arial" w:hAnsi="Arial" w:cs="Arial"/>
          <w:sz w:val="20"/>
          <w:szCs w:val="20"/>
        </w:rPr>
        <w:t>s</w:t>
      </w:r>
      <w:r w:rsidR="00B0088E">
        <w:rPr>
          <w:rFonts w:ascii="Arial" w:hAnsi="Arial" w:cs="Arial"/>
          <w:sz w:val="20"/>
          <w:szCs w:val="20"/>
        </w:rPr>
        <w:t xml:space="preserve"> an opportunity for Luxembourg to position itself ahead of </w:t>
      </w:r>
      <w:r w:rsidR="0038794B">
        <w:rPr>
          <w:rFonts w:ascii="Arial" w:hAnsi="Arial" w:cs="Arial"/>
          <w:sz w:val="20"/>
          <w:szCs w:val="20"/>
        </w:rPr>
        <w:t xml:space="preserve">the curve in terms of these </w:t>
      </w:r>
      <w:r w:rsidR="00B0088E">
        <w:rPr>
          <w:rFonts w:ascii="Arial" w:hAnsi="Arial" w:cs="Arial"/>
          <w:sz w:val="20"/>
          <w:szCs w:val="20"/>
        </w:rPr>
        <w:t xml:space="preserve">trends. </w:t>
      </w:r>
      <w:r w:rsidR="00B42B2E">
        <w:rPr>
          <w:rFonts w:ascii="Arial" w:hAnsi="Arial" w:cs="Arial"/>
          <w:sz w:val="20"/>
          <w:szCs w:val="20"/>
        </w:rPr>
        <w:t>This</w:t>
      </w:r>
      <w:r w:rsidR="00B42B2E" w:rsidRPr="00F57E10">
        <w:rPr>
          <w:rFonts w:ascii="Arial" w:hAnsi="Arial" w:cs="Arial"/>
          <w:sz w:val="20"/>
          <w:szCs w:val="20"/>
        </w:rPr>
        <w:t xml:space="preserve"> </w:t>
      </w:r>
      <w:r w:rsidR="00F90F1A">
        <w:rPr>
          <w:rFonts w:ascii="Arial" w:hAnsi="Arial" w:cs="Arial"/>
          <w:sz w:val="20"/>
          <w:szCs w:val="20"/>
        </w:rPr>
        <w:t>conviction</w:t>
      </w:r>
      <w:r w:rsidR="00BC05C4">
        <w:rPr>
          <w:rFonts w:ascii="Arial" w:hAnsi="Arial" w:cs="Arial"/>
          <w:sz w:val="20"/>
          <w:szCs w:val="20"/>
        </w:rPr>
        <w:t xml:space="preserve"> </w:t>
      </w:r>
      <w:r w:rsidR="00631A8B">
        <w:rPr>
          <w:rFonts w:ascii="Arial" w:hAnsi="Arial" w:cs="Arial"/>
          <w:sz w:val="20"/>
          <w:szCs w:val="20"/>
        </w:rPr>
        <w:t>- which is</w:t>
      </w:r>
      <w:r w:rsidR="0017467E">
        <w:rPr>
          <w:rFonts w:ascii="Arial" w:hAnsi="Arial" w:cs="Arial"/>
          <w:sz w:val="20"/>
          <w:szCs w:val="20"/>
        </w:rPr>
        <w:t xml:space="preserve"> based on analysis</w:t>
      </w:r>
      <w:r w:rsidR="00631A8B">
        <w:rPr>
          <w:rFonts w:ascii="Arial" w:hAnsi="Arial" w:cs="Arial"/>
          <w:sz w:val="20"/>
          <w:szCs w:val="20"/>
        </w:rPr>
        <w:t xml:space="preserve"> -</w:t>
      </w:r>
      <w:r w:rsidR="00311B88">
        <w:rPr>
          <w:rFonts w:ascii="Arial" w:hAnsi="Arial" w:cs="Arial"/>
          <w:sz w:val="20"/>
          <w:szCs w:val="20"/>
        </w:rPr>
        <w:t xml:space="preserve"> has led to innovation in</w:t>
      </w:r>
      <w:r w:rsidR="00B42B2E" w:rsidRPr="00F57E10">
        <w:rPr>
          <w:rFonts w:ascii="Arial" w:hAnsi="Arial" w:cs="Arial"/>
          <w:sz w:val="20"/>
          <w:szCs w:val="20"/>
        </w:rPr>
        <w:t xml:space="preserve"> service delivery, as we reinvent the way we provide quality service to our client</w:t>
      </w:r>
      <w:r w:rsidR="0017467E">
        <w:rPr>
          <w:rFonts w:ascii="Arial" w:hAnsi="Arial" w:cs="Arial"/>
          <w:sz w:val="20"/>
          <w:szCs w:val="20"/>
        </w:rPr>
        <w:t>s</w:t>
      </w:r>
      <w:r w:rsidR="00B42B2E" w:rsidRPr="00F57E10">
        <w:rPr>
          <w:rFonts w:ascii="Arial" w:hAnsi="Arial" w:cs="Arial"/>
          <w:sz w:val="20"/>
          <w:szCs w:val="20"/>
        </w:rPr>
        <w:t xml:space="preserve">. </w:t>
      </w:r>
      <w:r w:rsidR="00144942">
        <w:rPr>
          <w:rFonts w:ascii="Arial" w:hAnsi="Arial" w:cs="Arial"/>
          <w:sz w:val="20"/>
          <w:szCs w:val="20"/>
        </w:rPr>
        <w:t>W</w:t>
      </w:r>
      <w:r w:rsidR="00B42B2E" w:rsidRPr="00F57E10">
        <w:rPr>
          <w:rFonts w:ascii="Arial" w:hAnsi="Arial" w:cs="Arial"/>
          <w:sz w:val="20"/>
          <w:szCs w:val="20"/>
        </w:rPr>
        <w:t>e have put in place new models to better serve both today</w:t>
      </w:r>
      <w:r w:rsidR="0038794B">
        <w:rPr>
          <w:rFonts w:ascii="Arial" w:hAnsi="Arial" w:cs="Arial"/>
          <w:sz w:val="20"/>
          <w:szCs w:val="20"/>
        </w:rPr>
        <w:t>’</w:t>
      </w:r>
      <w:r w:rsidR="00B42B2E" w:rsidRPr="00F57E10">
        <w:rPr>
          <w:rFonts w:ascii="Arial" w:hAnsi="Arial" w:cs="Arial"/>
          <w:sz w:val="20"/>
          <w:szCs w:val="20"/>
        </w:rPr>
        <w:t>s and tomorrow</w:t>
      </w:r>
      <w:r w:rsidR="0038794B">
        <w:rPr>
          <w:rFonts w:ascii="Arial" w:hAnsi="Arial" w:cs="Arial"/>
          <w:sz w:val="20"/>
          <w:szCs w:val="20"/>
        </w:rPr>
        <w:t>’</w:t>
      </w:r>
      <w:r w:rsidR="00B42B2E">
        <w:rPr>
          <w:rFonts w:ascii="Arial" w:hAnsi="Arial" w:cs="Arial"/>
          <w:sz w:val="20"/>
          <w:szCs w:val="20"/>
        </w:rPr>
        <w:t xml:space="preserve">s </w:t>
      </w:r>
      <w:r w:rsidR="0017467E">
        <w:rPr>
          <w:rFonts w:ascii="Arial" w:hAnsi="Arial" w:cs="Arial"/>
          <w:sz w:val="20"/>
          <w:szCs w:val="20"/>
        </w:rPr>
        <w:t>expectations and needs</w:t>
      </w:r>
      <w:r w:rsidR="00B42B2E">
        <w:rPr>
          <w:rFonts w:ascii="Arial" w:hAnsi="Arial" w:cs="Arial"/>
          <w:sz w:val="20"/>
          <w:szCs w:val="20"/>
        </w:rPr>
        <w:t>.</w:t>
      </w:r>
      <w:r w:rsidR="00467035">
        <w:rPr>
          <w:rFonts w:ascii="Arial" w:hAnsi="Arial" w:cs="Arial"/>
          <w:sz w:val="20"/>
          <w:szCs w:val="20"/>
        </w:rPr>
        <w:t>”</w:t>
      </w:r>
    </w:p>
    <w:p w:rsidR="009E33BF" w:rsidRDefault="009E33BF" w:rsidP="00B42B2E">
      <w:pPr>
        <w:rPr>
          <w:rFonts w:ascii="Arial" w:hAnsi="Arial" w:cs="Arial"/>
          <w:sz w:val="20"/>
          <w:szCs w:val="20"/>
        </w:rPr>
      </w:pPr>
    </w:p>
    <w:p w:rsidR="00467035" w:rsidRPr="00467035" w:rsidRDefault="00467035" w:rsidP="00631A8B">
      <w:pPr>
        <w:pStyle w:val="Heading2"/>
      </w:pPr>
      <w:r>
        <w:t>Megatrend 1: Economic Interconnectedness</w:t>
      </w:r>
    </w:p>
    <w:p w:rsidR="00467035" w:rsidRPr="00467035" w:rsidRDefault="00467035" w:rsidP="00631A8B">
      <w:pPr>
        <w:pStyle w:val="Heading2"/>
        <w:rPr>
          <w:rFonts w:ascii="Arial" w:eastAsiaTheme="minorEastAsia" w:hAnsi="Arial" w:cs="Arial"/>
          <w:b/>
          <w:color w:val="auto"/>
          <w:sz w:val="20"/>
          <w:szCs w:val="20"/>
        </w:rPr>
      </w:pPr>
      <w:r w:rsidRPr="00467035">
        <w:rPr>
          <w:rFonts w:ascii="Arial" w:eastAsiaTheme="minorEastAsia" w:hAnsi="Arial" w:cs="Arial"/>
          <w:b/>
          <w:color w:val="auto"/>
          <w:sz w:val="20"/>
          <w:szCs w:val="20"/>
        </w:rPr>
        <w:t>Alain Picquet, Head of Advisory</w:t>
      </w:r>
    </w:p>
    <w:p w:rsidR="00631A8B" w:rsidRPr="00430A3B" w:rsidRDefault="00467035" w:rsidP="00631A8B">
      <w:pPr>
        <w:rPr>
          <w:rFonts w:ascii="Arial" w:hAnsi="Arial" w:cs="Arial"/>
          <w:sz w:val="20"/>
          <w:szCs w:val="20"/>
        </w:rPr>
      </w:pPr>
      <w:r>
        <w:rPr>
          <w:rFonts w:ascii="Arial" w:hAnsi="Arial" w:cs="Arial"/>
          <w:sz w:val="20"/>
          <w:szCs w:val="20"/>
        </w:rPr>
        <w:t>“</w:t>
      </w:r>
      <w:r w:rsidR="00631A8B">
        <w:rPr>
          <w:rFonts w:ascii="Arial" w:hAnsi="Arial" w:cs="Arial"/>
          <w:sz w:val="20"/>
          <w:szCs w:val="20"/>
        </w:rPr>
        <w:t xml:space="preserve">With one of the most globalized economies on the planet, Luxembourg is at the vanguard of </w:t>
      </w:r>
      <w:r w:rsidR="00000B1C">
        <w:rPr>
          <w:rFonts w:ascii="Arial" w:hAnsi="Arial" w:cs="Arial"/>
          <w:sz w:val="20"/>
          <w:szCs w:val="20"/>
        </w:rPr>
        <w:t>the move towards interconnection</w:t>
      </w:r>
      <w:r w:rsidR="00631A8B">
        <w:rPr>
          <w:rFonts w:ascii="Arial" w:hAnsi="Arial" w:cs="Arial"/>
          <w:sz w:val="20"/>
          <w:szCs w:val="20"/>
        </w:rPr>
        <w:t>. Increased interdependence brings</w:t>
      </w:r>
      <w:r w:rsidR="00631A8B" w:rsidRPr="00401CB1">
        <w:rPr>
          <w:rFonts w:ascii="Arial" w:hAnsi="Arial" w:cs="Arial"/>
          <w:sz w:val="20"/>
          <w:szCs w:val="20"/>
        </w:rPr>
        <w:t xml:space="preserve"> significant potential for growth</w:t>
      </w:r>
      <w:r w:rsidR="00631A8B">
        <w:rPr>
          <w:rFonts w:ascii="Arial" w:hAnsi="Arial" w:cs="Arial"/>
          <w:sz w:val="20"/>
          <w:szCs w:val="20"/>
        </w:rPr>
        <w:t xml:space="preserve"> and collaboration and we have long worked alongside our clients to capitalize on this. Yet the flipside to this trend is the risk of contagion that new complex trade and </w:t>
      </w:r>
      <w:r w:rsidR="00631A8B" w:rsidRPr="00430A3B">
        <w:rPr>
          <w:rFonts w:ascii="Arial" w:hAnsi="Arial" w:cs="Arial"/>
          <w:sz w:val="20"/>
          <w:szCs w:val="20"/>
        </w:rPr>
        <w:t xml:space="preserve">investment relationships bring. The continuous avalanche of regulation is only set to continue as governments legislate to try to mitigate these risks. KPMG is helping its clients to cope with this megatrend by providing </w:t>
      </w:r>
      <w:r w:rsidR="00D63757" w:rsidRPr="00430A3B">
        <w:rPr>
          <w:rFonts w:ascii="Arial" w:hAnsi="Arial" w:cs="Arial"/>
          <w:sz w:val="20"/>
          <w:szCs w:val="20"/>
        </w:rPr>
        <w:t xml:space="preserve">integrated </w:t>
      </w:r>
      <w:r w:rsidR="00631A8B" w:rsidRPr="00430A3B">
        <w:rPr>
          <w:rFonts w:ascii="Arial" w:hAnsi="Arial" w:cs="Arial"/>
          <w:sz w:val="20"/>
          <w:szCs w:val="20"/>
        </w:rPr>
        <w:t>services to take the burden off them and onto us. Our</w:t>
      </w:r>
      <w:r w:rsidR="00797E48" w:rsidRPr="00430A3B">
        <w:rPr>
          <w:rFonts w:ascii="Arial" w:hAnsi="Arial" w:cs="Arial"/>
          <w:sz w:val="20"/>
          <w:szCs w:val="20"/>
        </w:rPr>
        <w:t xml:space="preserve"> KPMG</w:t>
      </w:r>
      <w:r w:rsidR="00631A8B" w:rsidRPr="00430A3B">
        <w:rPr>
          <w:rFonts w:ascii="Arial" w:hAnsi="Arial" w:cs="Arial"/>
          <w:sz w:val="20"/>
          <w:szCs w:val="20"/>
        </w:rPr>
        <w:t xml:space="preserve"> Racer, for example, </w:t>
      </w:r>
      <w:r w:rsidR="00797E48" w:rsidRPr="00430A3B">
        <w:rPr>
          <w:rFonts w:ascii="Arial" w:hAnsi="Arial" w:cs="Arial"/>
          <w:sz w:val="20"/>
          <w:szCs w:val="20"/>
        </w:rPr>
        <w:t xml:space="preserve">is a suite of services that </w:t>
      </w:r>
      <w:r w:rsidR="00631A8B" w:rsidRPr="00430A3B">
        <w:rPr>
          <w:rFonts w:ascii="Arial" w:hAnsi="Arial" w:cs="Arial"/>
          <w:sz w:val="20"/>
          <w:szCs w:val="20"/>
        </w:rPr>
        <w:t xml:space="preserve">allows companies to wholly outsource </w:t>
      </w:r>
      <w:r w:rsidR="004358DD" w:rsidRPr="00430A3B">
        <w:rPr>
          <w:rFonts w:ascii="Arial" w:hAnsi="Arial" w:cs="Arial"/>
          <w:sz w:val="20"/>
          <w:szCs w:val="20"/>
        </w:rPr>
        <w:t>tax, risk management, valuation and reporting</w:t>
      </w:r>
      <w:r w:rsidR="00797E48" w:rsidRPr="00430A3B">
        <w:rPr>
          <w:rFonts w:ascii="Arial" w:hAnsi="Arial" w:cs="Arial"/>
          <w:sz w:val="20"/>
          <w:szCs w:val="20"/>
        </w:rPr>
        <w:t xml:space="preserve"> –</w:t>
      </w:r>
      <w:r w:rsidR="004358DD" w:rsidRPr="00430A3B">
        <w:rPr>
          <w:rFonts w:ascii="Arial" w:hAnsi="Arial" w:cs="Arial"/>
          <w:sz w:val="20"/>
          <w:szCs w:val="20"/>
        </w:rPr>
        <w:t xml:space="preserve"> </w:t>
      </w:r>
      <w:r w:rsidR="00797E48" w:rsidRPr="00430A3B">
        <w:rPr>
          <w:rFonts w:ascii="Arial" w:hAnsi="Arial" w:cs="Arial"/>
          <w:sz w:val="20"/>
          <w:szCs w:val="20"/>
        </w:rPr>
        <w:t>our best-seller being AIFMD reporting</w:t>
      </w:r>
      <w:r w:rsidR="00631A8B" w:rsidRPr="00430A3B">
        <w:rPr>
          <w:rFonts w:ascii="Arial" w:hAnsi="Arial" w:cs="Arial"/>
          <w:sz w:val="20"/>
          <w:szCs w:val="20"/>
        </w:rPr>
        <w:t>. Our Regulatory Scout service offers clients a dedicated team to keep a watch and help plan for regulation, allowing them to focus on their core business and secure peace of mind.</w:t>
      </w:r>
      <w:r w:rsidRPr="00430A3B">
        <w:rPr>
          <w:rFonts w:ascii="Arial" w:hAnsi="Arial" w:cs="Arial"/>
          <w:sz w:val="20"/>
          <w:szCs w:val="20"/>
        </w:rPr>
        <w:t>”</w:t>
      </w:r>
      <w:r w:rsidR="00631A8B" w:rsidRPr="00430A3B">
        <w:rPr>
          <w:rFonts w:ascii="Arial" w:hAnsi="Arial" w:cs="Arial"/>
          <w:sz w:val="20"/>
          <w:szCs w:val="20"/>
        </w:rPr>
        <w:t xml:space="preserve">   </w:t>
      </w:r>
    </w:p>
    <w:p w:rsidR="00631A8B" w:rsidRPr="00430A3B" w:rsidRDefault="00631A8B" w:rsidP="009E33BF">
      <w:pPr>
        <w:pStyle w:val="Heading2"/>
      </w:pPr>
    </w:p>
    <w:p w:rsidR="009E33BF" w:rsidRPr="00430A3B" w:rsidRDefault="009E33BF" w:rsidP="009E33BF">
      <w:pPr>
        <w:pStyle w:val="Heading2"/>
      </w:pPr>
      <w:r w:rsidRPr="00430A3B">
        <w:t xml:space="preserve">Megatrend </w:t>
      </w:r>
      <w:r w:rsidR="00631A8B" w:rsidRPr="00430A3B">
        <w:t>2</w:t>
      </w:r>
      <w:r w:rsidRPr="00430A3B">
        <w:t>: Enabling Technology</w:t>
      </w:r>
    </w:p>
    <w:p w:rsidR="00467035" w:rsidRPr="00430A3B" w:rsidRDefault="00467035" w:rsidP="00467035">
      <w:pPr>
        <w:pStyle w:val="Heading2"/>
      </w:pPr>
      <w:r w:rsidRPr="00430A3B">
        <w:rPr>
          <w:rFonts w:ascii="Arial" w:eastAsiaTheme="minorEastAsia" w:hAnsi="Arial" w:cs="Arial"/>
          <w:b/>
          <w:color w:val="auto"/>
          <w:sz w:val="20"/>
          <w:szCs w:val="20"/>
        </w:rPr>
        <w:t>Georges Bock, Managing Partner</w:t>
      </w:r>
    </w:p>
    <w:p w:rsidR="009E33BF" w:rsidRPr="00430A3B" w:rsidRDefault="00467035" w:rsidP="0038794B">
      <w:pPr>
        <w:autoSpaceDE w:val="0"/>
        <w:autoSpaceDN w:val="0"/>
        <w:adjustRightInd w:val="0"/>
        <w:rPr>
          <w:rFonts w:ascii="Arial" w:hAnsi="Arial" w:cs="Arial"/>
          <w:sz w:val="20"/>
          <w:szCs w:val="20"/>
        </w:rPr>
      </w:pPr>
      <w:r w:rsidRPr="00430A3B">
        <w:rPr>
          <w:rFonts w:ascii="Arial" w:hAnsi="Arial" w:cs="Arial"/>
          <w:sz w:val="20"/>
          <w:szCs w:val="20"/>
        </w:rPr>
        <w:t>“</w:t>
      </w:r>
      <w:r w:rsidR="0071379F" w:rsidRPr="00430A3B">
        <w:rPr>
          <w:rFonts w:ascii="Arial" w:hAnsi="Arial" w:cs="Arial"/>
          <w:sz w:val="20"/>
          <w:szCs w:val="20"/>
        </w:rPr>
        <w:t>Information and communication technology (ICT)</w:t>
      </w:r>
      <w:r w:rsidR="007A15E4" w:rsidRPr="00430A3B">
        <w:rPr>
          <w:rFonts w:ascii="Arial" w:hAnsi="Arial" w:cs="Arial"/>
          <w:sz w:val="20"/>
          <w:szCs w:val="20"/>
        </w:rPr>
        <w:t xml:space="preserve"> </w:t>
      </w:r>
      <w:r w:rsidR="0017467E" w:rsidRPr="00430A3B">
        <w:rPr>
          <w:rFonts w:ascii="Arial" w:hAnsi="Arial" w:cs="Arial"/>
          <w:sz w:val="20"/>
          <w:szCs w:val="20"/>
        </w:rPr>
        <w:t xml:space="preserve">is connecting people </w:t>
      </w:r>
      <w:r w:rsidR="00000B1C" w:rsidRPr="00430A3B">
        <w:rPr>
          <w:rFonts w:ascii="Arial" w:hAnsi="Arial" w:cs="Arial"/>
          <w:sz w:val="20"/>
          <w:szCs w:val="20"/>
        </w:rPr>
        <w:t xml:space="preserve">both in and outside Luxembourg </w:t>
      </w:r>
      <w:r w:rsidR="0017467E" w:rsidRPr="00430A3B">
        <w:rPr>
          <w:rFonts w:ascii="Arial" w:hAnsi="Arial" w:cs="Arial"/>
          <w:sz w:val="20"/>
          <w:szCs w:val="20"/>
        </w:rPr>
        <w:t xml:space="preserve">and disrupting existing business models. </w:t>
      </w:r>
      <w:r w:rsidR="00F90F1A" w:rsidRPr="00430A3B">
        <w:rPr>
          <w:rFonts w:ascii="Arial" w:hAnsi="Arial" w:cs="Arial"/>
          <w:sz w:val="20"/>
          <w:szCs w:val="20"/>
        </w:rPr>
        <w:t>The p</w:t>
      </w:r>
      <w:r w:rsidR="000A795E" w:rsidRPr="00430A3B">
        <w:rPr>
          <w:rFonts w:ascii="Arial" w:hAnsi="Arial" w:cs="Arial"/>
          <w:sz w:val="20"/>
          <w:szCs w:val="20"/>
        </w:rPr>
        <w:t xml:space="preserve">ace of change is continually </w:t>
      </w:r>
      <w:r w:rsidR="00F90F1A" w:rsidRPr="00430A3B">
        <w:rPr>
          <w:rFonts w:ascii="Arial" w:hAnsi="Arial" w:cs="Arial"/>
          <w:sz w:val="20"/>
          <w:szCs w:val="20"/>
        </w:rPr>
        <w:t>increasing</w:t>
      </w:r>
      <w:r w:rsidR="000A795E" w:rsidRPr="00430A3B">
        <w:rPr>
          <w:rFonts w:ascii="Arial" w:hAnsi="Arial" w:cs="Arial"/>
          <w:sz w:val="20"/>
          <w:szCs w:val="20"/>
        </w:rPr>
        <w:t xml:space="preserve"> a</w:t>
      </w:r>
      <w:r w:rsidR="00311B88" w:rsidRPr="00430A3B">
        <w:rPr>
          <w:rFonts w:ascii="Arial" w:hAnsi="Arial" w:cs="Arial"/>
          <w:sz w:val="20"/>
          <w:szCs w:val="20"/>
        </w:rPr>
        <w:t xml:space="preserve">nd technology itself is driving an acceleration </w:t>
      </w:r>
      <w:r w:rsidR="00000B1C" w:rsidRPr="00430A3B">
        <w:rPr>
          <w:rFonts w:ascii="Arial" w:hAnsi="Arial" w:cs="Arial"/>
          <w:sz w:val="20"/>
          <w:szCs w:val="20"/>
        </w:rPr>
        <w:t>in the speed of</w:t>
      </w:r>
      <w:r w:rsidR="000A795E" w:rsidRPr="00430A3B">
        <w:rPr>
          <w:rFonts w:ascii="Arial" w:hAnsi="Arial" w:cs="Arial"/>
          <w:sz w:val="20"/>
          <w:szCs w:val="20"/>
        </w:rPr>
        <w:t xml:space="preserve"> life. Mobile payments, data protection,</w:t>
      </w:r>
      <w:r w:rsidR="0071379F" w:rsidRPr="00430A3B">
        <w:rPr>
          <w:rFonts w:ascii="Arial" w:hAnsi="Arial" w:cs="Arial"/>
          <w:sz w:val="20"/>
          <w:szCs w:val="20"/>
        </w:rPr>
        <w:t xml:space="preserve"> </w:t>
      </w:r>
      <w:proofErr w:type="spellStart"/>
      <w:r w:rsidR="00000B1C" w:rsidRPr="00430A3B">
        <w:rPr>
          <w:rFonts w:ascii="Arial" w:hAnsi="Arial" w:cs="Arial"/>
          <w:sz w:val="20"/>
          <w:szCs w:val="20"/>
        </w:rPr>
        <w:t>crowdfunding</w:t>
      </w:r>
      <w:proofErr w:type="spellEnd"/>
      <w:r w:rsidR="0071379F" w:rsidRPr="00430A3B">
        <w:rPr>
          <w:rFonts w:ascii="Arial" w:hAnsi="Arial" w:cs="Arial"/>
          <w:sz w:val="20"/>
          <w:szCs w:val="20"/>
        </w:rPr>
        <w:t xml:space="preserve"> and</w:t>
      </w:r>
      <w:r w:rsidR="000A795E" w:rsidRPr="00430A3B">
        <w:rPr>
          <w:rFonts w:ascii="Arial" w:hAnsi="Arial" w:cs="Arial"/>
          <w:sz w:val="20"/>
          <w:szCs w:val="20"/>
        </w:rPr>
        <w:t xml:space="preserve"> </w:t>
      </w:r>
      <w:r w:rsidR="00F90F1A" w:rsidRPr="00430A3B">
        <w:rPr>
          <w:rFonts w:ascii="Arial" w:hAnsi="Arial" w:cs="Arial"/>
          <w:sz w:val="20"/>
          <w:szCs w:val="20"/>
        </w:rPr>
        <w:t xml:space="preserve">the </w:t>
      </w:r>
      <w:r w:rsidR="000A795E" w:rsidRPr="00430A3B">
        <w:rPr>
          <w:rFonts w:ascii="Arial" w:hAnsi="Arial" w:cs="Arial"/>
          <w:sz w:val="20"/>
          <w:szCs w:val="20"/>
        </w:rPr>
        <w:t>rise of digital content</w:t>
      </w:r>
      <w:r w:rsidR="0071379F" w:rsidRPr="00430A3B">
        <w:rPr>
          <w:rFonts w:ascii="Arial" w:hAnsi="Arial" w:cs="Arial"/>
          <w:sz w:val="20"/>
          <w:szCs w:val="20"/>
        </w:rPr>
        <w:t xml:space="preserve"> are just </w:t>
      </w:r>
      <w:r w:rsidR="00F90F1A" w:rsidRPr="00430A3B">
        <w:rPr>
          <w:rFonts w:ascii="Arial" w:hAnsi="Arial" w:cs="Arial"/>
          <w:sz w:val="20"/>
          <w:szCs w:val="20"/>
        </w:rPr>
        <w:t xml:space="preserve">a few </w:t>
      </w:r>
      <w:r w:rsidR="0071379F" w:rsidRPr="00430A3B">
        <w:rPr>
          <w:rFonts w:ascii="Arial" w:hAnsi="Arial" w:cs="Arial"/>
          <w:sz w:val="20"/>
          <w:szCs w:val="20"/>
        </w:rPr>
        <w:t>examples of technological sub-trends and potential business disruptors.</w:t>
      </w:r>
      <w:r w:rsidR="00CB5CDE" w:rsidRPr="00430A3B">
        <w:rPr>
          <w:rFonts w:ascii="Arial" w:hAnsi="Arial" w:cs="Arial"/>
          <w:sz w:val="20"/>
          <w:szCs w:val="20"/>
        </w:rPr>
        <w:t xml:space="preserve"> </w:t>
      </w:r>
      <w:r w:rsidR="0071379F" w:rsidRPr="00430A3B">
        <w:rPr>
          <w:rFonts w:ascii="Arial" w:hAnsi="Arial" w:cs="Arial"/>
          <w:sz w:val="20"/>
          <w:szCs w:val="20"/>
        </w:rPr>
        <w:t xml:space="preserve"> </w:t>
      </w:r>
      <w:r w:rsidR="002D1817" w:rsidRPr="00430A3B">
        <w:rPr>
          <w:rFonts w:ascii="Arial" w:hAnsi="Arial" w:cs="Arial"/>
          <w:sz w:val="20"/>
          <w:szCs w:val="20"/>
        </w:rPr>
        <w:t>Helping</w:t>
      </w:r>
      <w:r w:rsidR="0038794B" w:rsidRPr="00430A3B">
        <w:rPr>
          <w:rFonts w:ascii="Arial" w:hAnsi="Arial" w:cs="Arial"/>
          <w:sz w:val="20"/>
          <w:szCs w:val="20"/>
        </w:rPr>
        <w:t xml:space="preserve"> clients </w:t>
      </w:r>
      <w:r w:rsidR="006E6EEF" w:rsidRPr="00430A3B">
        <w:rPr>
          <w:rFonts w:ascii="Arial" w:hAnsi="Arial" w:cs="Arial"/>
          <w:sz w:val="20"/>
          <w:szCs w:val="20"/>
        </w:rPr>
        <w:t>understand</w:t>
      </w:r>
      <w:r w:rsidR="00CB5CDE" w:rsidRPr="00430A3B">
        <w:rPr>
          <w:rFonts w:ascii="Arial" w:hAnsi="Arial" w:cs="Arial"/>
          <w:sz w:val="20"/>
          <w:szCs w:val="20"/>
        </w:rPr>
        <w:t xml:space="preserve"> the impact that enabling technology will have on their business</w:t>
      </w:r>
      <w:r w:rsidR="002D1817" w:rsidRPr="00430A3B">
        <w:rPr>
          <w:rFonts w:ascii="Arial" w:hAnsi="Arial" w:cs="Arial"/>
          <w:sz w:val="20"/>
          <w:szCs w:val="20"/>
        </w:rPr>
        <w:t xml:space="preserve"> is a first step towards </w:t>
      </w:r>
      <w:r w:rsidR="00000B1C" w:rsidRPr="00430A3B">
        <w:rPr>
          <w:rFonts w:ascii="Arial" w:hAnsi="Arial" w:cs="Arial"/>
          <w:sz w:val="20"/>
          <w:szCs w:val="20"/>
        </w:rPr>
        <w:t>u</w:t>
      </w:r>
      <w:r w:rsidR="002D1817" w:rsidRPr="00430A3B">
        <w:rPr>
          <w:rFonts w:ascii="Arial" w:hAnsi="Arial" w:cs="Arial"/>
          <w:sz w:val="20"/>
          <w:szCs w:val="20"/>
        </w:rPr>
        <w:t>nleashing</w:t>
      </w:r>
      <w:r w:rsidR="00CB5CDE" w:rsidRPr="00430A3B">
        <w:rPr>
          <w:rFonts w:ascii="Arial" w:hAnsi="Arial" w:cs="Arial"/>
          <w:sz w:val="20"/>
          <w:szCs w:val="20"/>
        </w:rPr>
        <w:t xml:space="preserve"> “leapfrog” opportunities</w:t>
      </w:r>
      <w:r w:rsidR="002D1817" w:rsidRPr="00430A3B">
        <w:rPr>
          <w:rFonts w:ascii="Arial" w:hAnsi="Arial" w:cs="Arial"/>
          <w:sz w:val="20"/>
          <w:szCs w:val="20"/>
        </w:rPr>
        <w:t xml:space="preserve"> and finally h</w:t>
      </w:r>
      <w:r w:rsidR="00CB5CDE" w:rsidRPr="00430A3B">
        <w:rPr>
          <w:rFonts w:ascii="Arial" w:hAnsi="Arial" w:cs="Arial"/>
          <w:sz w:val="20"/>
          <w:szCs w:val="20"/>
        </w:rPr>
        <w:t>arness</w:t>
      </w:r>
      <w:r w:rsidR="006E6EEF" w:rsidRPr="00430A3B">
        <w:rPr>
          <w:rFonts w:ascii="Arial" w:hAnsi="Arial" w:cs="Arial"/>
          <w:sz w:val="20"/>
          <w:szCs w:val="20"/>
        </w:rPr>
        <w:t>ing</w:t>
      </w:r>
      <w:r w:rsidR="00CB5CDE" w:rsidRPr="00430A3B">
        <w:rPr>
          <w:rFonts w:ascii="Arial" w:hAnsi="Arial" w:cs="Arial"/>
          <w:sz w:val="20"/>
          <w:szCs w:val="20"/>
        </w:rPr>
        <w:t xml:space="preserve"> </w:t>
      </w:r>
      <w:r w:rsidR="0038794B" w:rsidRPr="00430A3B">
        <w:rPr>
          <w:rFonts w:ascii="Arial" w:hAnsi="Arial" w:cs="Arial"/>
          <w:sz w:val="20"/>
          <w:szCs w:val="20"/>
        </w:rPr>
        <w:t xml:space="preserve">the power of </w:t>
      </w:r>
      <w:r w:rsidR="00CB5CDE" w:rsidRPr="00430A3B">
        <w:rPr>
          <w:rFonts w:ascii="Arial" w:hAnsi="Arial" w:cs="Arial"/>
          <w:sz w:val="20"/>
          <w:szCs w:val="20"/>
        </w:rPr>
        <w:t>digital transformation</w:t>
      </w:r>
      <w:r w:rsidR="002D1817" w:rsidRPr="00430A3B">
        <w:rPr>
          <w:rFonts w:ascii="Arial" w:hAnsi="Arial" w:cs="Arial"/>
          <w:sz w:val="20"/>
          <w:szCs w:val="20"/>
        </w:rPr>
        <w:t>, Social Media, Big D</w:t>
      </w:r>
      <w:r w:rsidR="0038794B" w:rsidRPr="00430A3B">
        <w:rPr>
          <w:rFonts w:ascii="Arial" w:hAnsi="Arial" w:cs="Arial"/>
          <w:sz w:val="20"/>
          <w:szCs w:val="20"/>
        </w:rPr>
        <w:t xml:space="preserve">ata and </w:t>
      </w:r>
      <w:r w:rsidR="00315B6B" w:rsidRPr="00430A3B">
        <w:rPr>
          <w:rFonts w:ascii="Arial" w:hAnsi="Arial" w:cs="Arial"/>
          <w:sz w:val="20"/>
          <w:szCs w:val="20"/>
        </w:rPr>
        <w:t xml:space="preserve">related business </w:t>
      </w:r>
      <w:r w:rsidR="002D1817" w:rsidRPr="00430A3B">
        <w:rPr>
          <w:rFonts w:ascii="Arial" w:hAnsi="Arial" w:cs="Arial"/>
          <w:sz w:val="20"/>
          <w:szCs w:val="20"/>
        </w:rPr>
        <w:t>analytics</w:t>
      </w:r>
      <w:r w:rsidR="00CB5CDE" w:rsidRPr="00430A3B">
        <w:rPr>
          <w:rFonts w:ascii="Arial" w:hAnsi="Arial" w:cs="Arial"/>
          <w:sz w:val="20"/>
          <w:szCs w:val="20"/>
        </w:rPr>
        <w:t>.</w:t>
      </w:r>
      <w:r w:rsidR="00E1145D" w:rsidRPr="00430A3B">
        <w:rPr>
          <w:rFonts w:ascii="Arial" w:hAnsi="Arial" w:cs="Arial"/>
          <w:sz w:val="20"/>
          <w:szCs w:val="20"/>
        </w:rPr>
        <w:t xml:space="preserve"> Always</w:t>
      </w:r>
      <w:r w:rsidR="00CB5CDE" w:rsidRPr="00430A3B">
        <w:rPr>
          <w:rFonts w:ascii="Arial" w:hAnsi="Arial" w:cs="Arial"/>
          <w:sz w:val="20"/>
          <w:szCs w:val="20"/>
        </w:rPr>
        <w:t xml:space="preserve"> one step ahead.</w:t>
      </w:r>
      <w:r w:rsidRPr="00430A3B">
        <w:rPr>
          <w:rFonts w:ascii="Arial" w:hAnsi="Arial" w:cs="Arial"/>
          <w:sz w:val="20"/>
          <w:szCs w:val="20"/>
        </w:rPr>
        <w:t>”</w:t>
      </w:r>
      <w:r w:rsidR="00315B6B" w:rsidRPr="00430A3B">
        <w:rPr>
          <w:rFonts w:ascii="Arial" w:hAnsi="Arial" w:cs="Arial"/>
          <w:sz w:val="20"/>
          <w:szCs w:val="20"/>
        </w:rPr>
        <w:t xml:space="preserve"> </w:t>
      </w:r>
      <w:r w:rsidR="009E33BF" w:rsidRPr="00430A3B">
        <w:rPr>
          <w:rFonts w:ascii="Verdana" w:hAnsi="Verdana"/>
          <w:color w:val="000000"/>
        </w:rPr>
        <w:br w:type="textWrapping" w:clear="all"/>
      </w:r>
    </w:p>
    <w:p w:rsidR="00435485" w:rsidRPr="00430A3B" w:rsidRDefault="00435485" w:rsidP="00435485">
      <w:pPr>
        <w:pStyle w:val="Heading2"/>
      </w:pPr>
      <w:r w:rsidRPr="00430A3B">
        <w:lastRenderedPageBreak/>
        <w:t xml:space="preserve">Megatrend </w:t>
      </w:r>
      <w:r w:rsidR="00467035" w:rsidRPr="00430A3B">
        <w:t>3</w:t>
      </w:r>
      <w:r w:rsidRPr="00430A3B">
        <w:t>: Economic Power Shift</w:t>
      </w:r>
    </w:p>
    <w:p w:rsidR="00435485" w:rsidRPr="00430A3B" w:rsidRDefault="00467035" w:rsidP="00467035">
      <w:pPr>
        <w:pStyle w:val="Heading2"/>
        <w:rPr>
          <w:rFonts w:ascii="Arial" w:eastAsiaTheme="minorEastAsia" w:hAnsi="Arial" w:cs="Arial"/>
          <w:b/>
          <w:color w:val="auto"/>
          <w:sz w:val="20"/>
          <w:szCs w:val="20"/>
        </w:rPr>
      </w:pPr>
      <w:r w:rsidRPr="00430A3B">
        <w:rPr>
          <w:rFonts w:ascii="Arial" w:eastAsiaTheme="minorEastAsia" w:hAnsi="Arial" w:cs="Arial"/>
          <w:b/>
          <w:color w:val="auto"/>
          <w:sz w:val="20"/>
          <w:szCs w:val="20"/>
        </w:rPr>
        <w:t>Emmanuel Dollé, Head of Audit</w:t>
      </w:r>
    </w:p>
    <w:p w:rsidR="00467035" w:rsidRPr="00430A3B" w:rsidRDefault="00BC05C4" w:rsidP="00467035">
      <w:r>
        <w:rPr>
          <w:rFonts w:ascii="Arial" w:hAnsi="Arial" w:cs="Arial"/>
          <w:sz w:val="20"/>
          <w:szCs w:val="20"/>
        </w:rPr>
        <w:t>“</w:t>
      </w:r>
      <w:r w:rsidR="006A69BB" w:rsidRPr="00430A3B">
        <w:rPr>
          <w:rFonts w:ascii="Arial" w:hAnsi="Arial" w:cs="Arial"/>
          <w:sz w:val="20"/>
          <w:szCs w:val="20"/>
        </w:rPr>
        <w:t xml:space="preserve">Emerging market economies are becoming increasingly important players in international finance. Power is shifting from the developed world to these new hubs of influence and each new economy that blooms brings with it potential consumers, opportunities and challenges. If Luxembourg is to stay at the center of these shifting financial powers, it needs to reinvent itself, show greater understanding of multicultural opportunities and risks and establish a </w:t>
      </w:r>
      <w:r w:rsidR="001B4F45" w:rsidRPr="00430A3B">
        <w:rPr>
          <w:rFonts w:ascii="Arial" w:hAnsi="Arial" w:cs="Arial"/>
          <w:sz w:val="20"/>
          <w:szCs w:val="20"/>
        </w:rPr>
        <w:t>strong</w:t>
      </w:r>
      <w:r w:rsidR="006A69BB" w:rsidRPr="00430A3B">
        <w:rPr>
          <w:rFonts w:ascii="Arial" w:hAnsi="Arial" w:cs="Arial"/>
          <w:sz w:val="20"/>
          <w:szCs w:val="20"/>
        </w:rPr>
        <w:t xml:space="preserve"> reputation for</w:t>
      </w:r>
      <w:r w:rsidR="001B4F45" w:rsidRPr="00430A3B">
        <w:rPr>
          <w:rFonts w:ascii="Arial" w:hAnsi="Arial" w:cs="Arial"/>
          <w:sz w:val="20"/>
          <w:szCs w:val="20"/>
        </w:rPr>
        <w:t xml:space="preserve"> itself beyond</w:t>
      </w:r>
      <w:r w:rsidR="006A69BB" w:rsidRPr="00430A3B">
        <w:rPr>
          <w:rFonts w:ascii="Arial" w:hAnsi="Arial" w:cs="Arial"/>
          <w:sz w:val="20"/>
          <w:szCs w:val="20"/>
        </w:rPr>
        <w:t xml:space="preserve"> traditional western circles. At KPMG, we are working on a daily basis with our global network to understand and face these new challenges together. To be even closer to </w:t>
      </w:r>
      <w:r w:rsidR="001B4F45" w:rsidRPr="00430A3B">
        <w:rPr>
          <w:rFonts w:ascii="Arial" w:hAnsi="Arial" w:cs="Arial"/>
          <w:sz w:val="20"/>
          <w:szCs w:val="20"/>
        </w:rPr>
        <w:t>where our clients are doing business</w:t>
      </w:r>
      <w:r w:rsidR="006A69BB" w:rsidRPr="00430A3B">
        <w:rPr>
          <w:rFonts w:ascii="Arial" w:hAnsi="Arial" w:cs="Arial"/>
          <w:sz w:val="20"/>
          <w:szCs w:val="20"/>
        </w:rPr>
        <w:t>, we have developed international expertise locally, with Chinese, Japanese and Russian desks here in Luxembourg.</w:t>
      </w:r>
      <w:r w:rsidR="001B4F45" w:rsidRPr="00430A3B">
        <w:rPr>
          <w:rFonts w:ascii="Arial" w:hAnsi="Arial" w:cs="Arial"/>
          <w:sz w:val="20"/>
          <w:szCs w:val="20"/>
        </w:rPr>
        <w:t>”</w:t>
      </w:r>
    </w:p>
    <w:p w:rsidR="00467035" w:rsidRPr="00430A3B" w:rsidRDefault="00467035" w:rsidP="00467035">
      <w:pPr>
        <w:rPr>
          <w:b/>
        </w:rPr>
      </w:pPr>
    </w:p>
    <w:p w:rsidR="00467035" w:rsidRPr="00430A3B" w:rsidRDefault="00E1145D" w:rsidP="00467035">
      <w:pPr>
        <w:rPr>
          <w:b/>
        </w:rPr>
      </w:pPr>
      <w:r w:rsidRPr="00430A3B">
        <w:rPr>
          <w:b/>
        </w:rPr>
        <w:t>Thomas Feld, COO</w:t>
      </w:r>
    </w:p>
    <w:p w:rsidR="00631A8B" w:rsidRPr="00430A3B" w:rsidRDefault="00467035" w:rsidP="0038794B">
      <w:pPr>
        <w:autoSpaceDE w:val="0"/>
        <w:autoSpaceDN w:val="0"/>
        <w:adjustRightInd w:val="0"/>
        <w:rPr>
          <w:rFonts w:ascii="Arial" w:hAnsi="Arial" w:cs="Arial"/>
          <w:sz w:val="20"/>
          <w:szCs w:val="20"/>
        </w:rPr>
      </w:pPr>
      <w:r w:rsidRPr="00430A3B">
        <w:rPr>
          <w:rFonts w:ascii="Arial" w:hAnsi="Arial" w:cs="Arial"/>
          <w:sz w:val="20"/>
          <w:szCs w:val="20"/>
        </w:rPr>
        <w:t>“</w:t>
      </w:r>
      <w:r w:rsidR="0038794B" w:rsidRPr="00430A3B">
        <w:rPr>
          <w:rFonts w:ascii="Arial" w:hAnsi="Arial" w:cs="Arial"/>
          <w:sz w:val="20"/>
          <w:szCs w:val="20"/>
        </w:rPr>
        <w:t xml:space="preserve">What we have achieved for our own firm this year is exactly what we are helping our clients </w:t>
      </w:r>
      <w:r w:rsidR="00E1145D" w:rsidRPr="00430A3B">
        <w:rPr>
          <w:rFonts w:ascii="Arial" w:hAnsi="Arial" w:cs="Arial"/>
          <w:sz w:val="20"/>
          <w:szCs w:val="20"/>
        </w:rPr>
        <w:t xml:space="preserve">to </w:t>
      </w:r>
      <w:r w:rsidR="0038794B" w:rsidRPr="00430A3B">
        <w:rPr>
          <w:rFonts w:ascii="Arial" w:hAnsi="Arial" w:cs="Arial"/>
          <w:sz w:val="20"/>
          <w:szCs w:val="20"/>
        </w:rPr>
        <w:t>achieve: transformation.</w:t>
      </w:r>
      <w:r w:rsidR="00BC4239" w:rsidRPr="00430A3B">
        <w:rPr>
          <w:rFonts w:ascii="Arial" w:hAnsi="Arial" w:cs="Arial"/>
          <w:sz w:val="20"/>
          <w:szCs w:val="20"/>
        </w:rPr>
        <w:t xml:space="preserve"> Creating future-ready services</w:t>
      </w:r>
      <w:r w:rsidR="0038794B" w:rsidRPr="00430A3B">
        <w:rPr>
          <w:rFonts w:ascii="Arial" w:hAnsi="Arial" w:cs="Arial"/>
          <w:sz w:val="20"/>
          <w:szCs w:val="20"/>
        </w:rPr>
        <w:t xml:space="preserve"> has required</w:t>
      </w:r>
      <w:r w:rsidR="002D1817" w:rsidRPr="00430A3B">
        <w:rPr>
          <w:rFonts w:ascii="Arial" w:hAnsi="Arial" w:cs="Arial"/>
          <w:sz w:val="20"/>
          <w:szCs w:val="20"/>
        </w:rPr>
        <w:t xml:space="preserve"> </w:t>
      </w:r>
      <w:r w:rsidR="0038794B" w:rsidRPr="00430A3B">
        <w:rPr>
          <w:rFonts w:ascii="Arial" w:hAnsi="Arial" w:cs="Arial"/>
          <w:sz w:val="20"/>
          <w:szCs w:val="20"/>
        </w:rPr>
        <w:t xml:space="preserve">investment in </w:t>
      </w:r>
      <w:r w:rsidR="00144942" w:rsidRPr="00430A3B">
        <w:rPr>
          <w:rFonts w:ascii="Arial" w:hAnsi="Arial" w:cs="Arial"/>
          <w:sz w:val="20"/>
          <w:szCs w:val="20"/>
        </w:rPr>
        <w:t>people</w:t>
      </w:r>
      <w:r w:rsidR="0038794B" w:rsidRPr="00430A3B">
        <w:rPr>
          <w:rFonts w:ascii="Arial" w:hAnsi="Arial" w:cs="Arial"/>
          <w:sz w:val="20"/>
          <w:szCs w:val="20"/>
        </w:rPr>
        <w:t>, expertise</w:t>
      </w:r>
      <w:r w:rsidR="00BC4239" w:rsidRPr="00430A3B">
        <w:rPr>
          <w:rFonts w:ascii="Arial" w:hAnsi="Arial" w:cs="Arial"/>
          <w:sz w:val="20"/>
          <w:szCs w:val="20"/>
        </w:rPr>
        <w:t xml:space="preserve"> and infrastructure</w:t>
      </w:r>
      <w:r w:rsidR="001B4F45" w:rsidRPr="00430A3B">
        <w:rPr>
          <w:rFonts w:ascii="Arial" w:hAnsi="Arial" w:cs="Arial"/>
          <w:sz w:val="20"/>
          <w:szCs w:val="20"/>
        </w:rPr>
        <w:t xml:space="preserve"> – as shown in our key figures - </w:t>
      </w:r>
      <w:r w:rsidR="00C016D2" w:rsidRPr="00430A3B">
        <w:rPr>
          <w:rFonts w:ascii="Arial" w:hAnsi="Arial" w:cs="Arial"/>
          <w:sz w:val="20"/>
          <w:szCs w:val="20"/>
        </w:rPr>
        <w:t xml:space="preserve">but </w:t>
      </w:r>
      <w:r w:rsidR="00D63757" w:rsidRPr="00430A3B">
        <w:rPr>
          <w:rFonts w:ascii="Arial" w:hAnsi="Arial" w:cs="Arial"/>
          <w:sz w:val="20"/>
          <w:szCs w:val="20"/>
        </w:rPr>
        <w:t>there is still some work to be done</w:t>
      </w:r>
      <w:r w:rsidR="00C016D2" w:rsidRPr="00430A3B">
        <w:rPr>
          <w:rFonts w:ascii="Arial" w:hAnsi="Arial" w:cs="Arial"/>
          <w:sz w:val="20"/>
          <w:szCs w:val="20"/>
        </w:rPr>
        <w:t xml:space="preserve">. </w:t>
      </w:r>
      <w:r w:rsidR="00BC4239" w:rsidRPr="00430A3B">
        <w:rPr>
          <w:rFonts w:ascii="Arial" w:hAnsi="Arial" w:cs="Arial"/>
          <w:sz w:val="20"/>
          <w:szCs w:val="20"/>
        </w:rPr>
        <w:t xml:space="preserve">With our move to </w:t>
      </w:r>
      <w:r w:rsidR="00BC4239" w:rsidRPr="00430A3B">
        <w:rPr>
          <w:rFonts w:ascii="Arial" w:hAnsi="Arial" w:cs="Arial"/>
          <w:i/>
          <w:sz w:val="20"/>
          <w:szCs w:val="20"/>
        </w:rPr>
        <w:t>39, Avenue Kennedy</w:t>
      </w:r>
      <w:r w:rsidR="00D63757" w:rsidRPr="00430A3B">
        <w:rPr>
          <w:rFonts w:ascii="Arial" w:hAnsi="Arial" w:cs="Arial"/>
          <w:sz w:val="20"/>
          <w:szCs w:val="20"/>
        </w:rPr>
        <w:t xml:space="preserve"> this</w:t>
      </w:r>
      <w:r w:rsidR="00C016D2" w:rsidRPr="00430A3B">
        <w:rPr>
          <w:rFonts w:ascii="Arial" w:hAnsi="Arial" w:cs="Arial"/>
          <w:sz w:val="20"/>
          <w:szCs w:val="20"/>
        </w:rPr>
        <w:t xml:space="preserve"> year, we </w:t>
      </w:r>
      <w:r w:rsidR="002D1817" w:rsidRPr="00430A3B">
        <w:rPr>
          <w:rFonts w:ascii="Arial" w:hAnsi="Arial" w:cs="Arial"/>
          <w:sz w:val="20"/>
          <w:szCs w:val="20"/>
        </w:rPr>
        <w:t>advance towards our</w:t>
      </w:r>
      <w:r w:rsidR="00C016D2" w:rsidRPr="00430A3B">
        <w:rPr>
          <w:rFonts w:ascii="Arial" w:hAnsi="Arial" w:cs="Arial"/>
          <w:sz w:val="20"/>
          <w:szCs w:val="20"/>
        </w:rPr>
        <w:t xml:space="preserve"> vision of </w:t>
      </w:r>
      <w:r w:rsidRPr="00430A3B">
        <w:rPr>
          <w:rFonts w:ascii="Arial" w:hAnsi="Arial" w:cs="Arial"/>
          <w:sz w:val="20"/>
          <w:szCs w:val="20"/>
        </w:rPr>
        <w:t xml:space="preserve">creating a state-of-the-art </w:t>
      </w:r>
      <w:r w:rsidR="00C016D2" w:rsidRPr="00430A3B">
        <w:rPr>
          <w:rFonts w:ascii="Arial" w:hAnsi="Arial" w:cs="Arial"/>
          <w:sz w:val="20"/>
          <w:szCs w:val="20"/>
        </w:rPr>
        <w:t>en</w:t>
      </w:r>
      <w:r w:rsidR="002D1817" w:rsidRPr="00430A3B">
        <w:rPr>
          <w:rFonts w:ascii="Arial" w:hAnsi="Arial" w:cs="Arial"/>
          <w:sz w:val="20"/>
          <w:szCs w:val="20"/>
        </w:rPr>
        <w:t>vironment</w:t>
      </w:r>
      <w:r w:rsidRPr="00430A3B">
        <w:rPr>
          <w:rFonts w:ascii="Arial" w:hAnsi="Arial" w:cs="Arial"/>
          <w:sz w:val="20"/>
          <w:szCs w:val="20"/>
        </w:rPr>
        <w:t xml:space="preserve"> for our clients and people,</w:t>
      </w:r>
      <w:r w:rsidR="00144942" w:rsidRPr="00430A3B">
        <w:rPr>
          <w:rFonts w:ascii="Arial" w:hAnsi="Arial" w:cs="Arial"/>
          <w:sz w:val="20"/>
          <w:szCs w:val="20"/>
        </w:rPr>
        <w:t xml:space="preserve"> </w:t>
      </w:r>
      <w:r w:rsidR="00C016D2" w:rsidRPr="00430A3B">
        <w:rPr>
          <w:rFonts w:ascii="Arial" w:hAnsi="Arial" w:cs="Arial"/>
          <w:sz w:val="20"/>
          <w:szCs w:val="20"/>
        </w:rPr>
        <w:t xml:space="preserve">combining </w:t>
      </w:r>
      <w:r w:rsidR="00BC4239" w:rsidRPr="00430A3B">
        <w:rPr>
          <w:rFonts w:ascii="Arial" w:hAnsi="Arial" w:cs="Arial"/>
          <w:sz w:val="20"/>
          <w:szCs w:val="20"/>
        </w:rPr>
        <w:t>three</w:t>
      </w:r>
      <w:r w:rsidR="00C016D2" w:rsidRPr="00430A3B">
        <w:rPr>
          <w:rFonts w:ascii="Arial" w:hAnsi="Arial" w:cs="Arial"/>
          <w:sz w:val="20"/>
          <w:szCs w:val="20"/>
        </w:rPr>
        <w:t xml:space="preserve"> key elements</w:t>
      </w:r>
      <w:r w:rsidR="00E01B65" w:rsidRPr="00430A3B">
        <w:rPr>
          <w:rFonts w:ascii="Arial" w:hAnsi="Arial" w:cs="Arial"/>
          <w:sz w:val="20"/>
          <w:szCs w:val="20"/>
        </w:rPr>
        <w:t xml:space="preserve">: </w:t>
      </w:r>
      <w:r w:rsidR="00BC4239" w:rsidRPr="00430A3B">
        <w:rPr>
          <w:rFonts w:ascii="Arial" w:hAnsi="Arial" w:cs="Arial"/>
          <w:sz w:val="20"/>
          <w:szCs w:val="20"/>
        </w:rPr>
        <w:t xml:space="preserve">community, </w:t>
      </w:r>
      <w:r w:rsidR="00315B6B" w:rsidRPr="00430A3B">
        <w:rPr>
          <w:rFonts w:ascii="Arial" w:hAnsi="Arial" w:cs="Arial"/>
          <w:sz w:val="20"/>
          <w:szCs w:val="20"/>
        </w:rPr>
        <w:t xml:space="preserve">efficiency </w:t>
      </w:r>
      <w:r w:rsidR="00BC4239" w:rsidRPr="00430A3B">
        <w:rPr>
          <w:rFonts w:ascii="Arial" w:hAnsi="Arial" w:cs="Arial"/>
          <w:sz w:val="20"/>
          <w:szCs w:val="20"/>
        </w:rPr>
        <w:t xml:space="preserve">and </w:t>
      </w:r>
      <w:r w:rsidR="00315B6B" w:rsidRPr="00430A3B">
        <w:rPr>
          <w:rFonts w:ascii="Arial" w:hAnsi="Arial" w:cs="Arial"/>
          <w:sz w:val="20"/>
          <w:szCs w:val="20"/>
        </w:rPr>
        <w:t>lifestyle</w:t>
      </w:r>
      <w:r w:rsidR="00BC4239" w:rsidRPr="00430A3B">
        <w:rPr>
          <w:rFonts w:ascii="Arial" w:hAnsi="Arial" w:cs="Arial"/>
          <w:sz w:val="20"/>
          <w:szCs w:val="20"/>
        </w:rPr>
        <w:t>.</w:t>
      </w:r>
      <w:r w:rsidR="00C016D2" w:rsidRPr="00430A3B">
        <w:rPr>
          <w:rFonts w:ascii="Arial" w:hAnsi="Arial" w:cs="Arial"/>
          <w:sz w:val="20"/>
          <w:szCs w:val="20"/>
        </w:rPr>
        <w:t xml:space="preserve"> Spacious open work areas, </w:t>
      </w:r>
      <w:r w:rsidR="002D1817" w:rsidRPr="00430A3B">
        <w:rPr>
          <w:rFonts w:ascii="Arial" w:hAnsi="Arial" w:cs="Arial"/>
          <w:sz w:val="20"/>
          <w:szCs w:val="20"/>
        </w:rPr>
        <w:t>quirky meeting spaces, a bistro, food court and coffee bar: places</w:t>
      </w:r>
      <w:r w:rsidR="00E01B65" w:rsidRPr="00430A3B">
        <w:rPr>
          <w:rFonts w:ascii="Arial" w:hAnsi="Arial" w:cs="Arial"/>
          <w:sz w:val="20"/>
          <w:szCs w:val="20"/>
        </w:rPr>
        <w:t xml:space="preserve"> </w:t>
      </w:r>
      <w:r w:rsidR="002D1817" w:rsidRPr="00430A3B">
        <w:rPr>
          <w:rFonts w:ascii="Arial" w:hAnsi="Arial" w:cs="Arial"/>
          <w:sz w:val="20"/>
          <w:szCs w:val="20"/>
        </w:rPr>
        <w:t>to</w:t>
      </w:r>
      <w:r w:rsidR="00435485" w:rsidRPr="00430A3B">
        <w:rPr>
          <w:rFonts w:ascii="Arial" w:hAnsi="Arial" w:cs="Arial"/>
          <w:sz w:val="20"/>
          <w:szCs w:val="20"/>
        </w:rPr>
        <w:t xml:space="preserve"> come </w:t>
      </w:r>
      <w:r w:rsidR="00C016D2" w:rsidRPr="00430A3B">
        <w:rPr>
          <w:rFonts w:ascii="Arial" w:hAnsi="Arial" w:cs="Arial"/>
          <w:sz w:val="20"/>
          <w:szCs w:val="20"/>
        </w:rPr>
        <w:t xml:space="preserve">together to </w:t>
      </w:r>
      <w:r w:rsidR="00315B6B" w:rsidRPr="00430A3B">
        <w:rPr>
          <w:rFonts w:ascii="Arial" w:hAnsi="Arial" w:cs="Arial"/>
          <w:sz w:val="20"/>
          <w:szCs w:val="20"/>
        </w:rPr>
        <w:t>exchange ideas and create new ones</w:t>
      </w:r>
      <w:r w:rsidR="002D1817" w:rsidRPr="00430A3B">
        <w:rPr>
          <w:rFonts w:ascii="Arial" w:hAnsi="Arial" w:cs="Arial"/>
          <w:sz w:val="20"/>
          <w:szCs w:val="20"/>
        </w:rPr>
        <w:t>.</w:t>
      </w:r>
      <w:r w:rsidRPr="00430A3B">
        <w:rPr>
          <w:rFonts w:ascii="Arial" w:hAnsi="Arial" w:cs="Arial"/>
          <w:sz w:val="20"/>
          <w:szCs w:val="20"/>
        </w:rPr>
        <w:t>”</w:t>
      </w:r>
      <w:r w:rsidR="002D1817" w:rsidRPr="00430A3B">
        <w:rPr>
          <w:rFonts w:ascii="Arial" w:hAnsi="Arial" w:cs="Arial"/>
          <w:sz w:val="20"/>
          <w:szCs w:val="20"/>
        </w:rPr>
        <w:t xml:space="preserve"> </w:t>
      </w:r>
    </w:p>
    <w:p w:rsidR="002D1817" w:rsidRPr="00430A3B" w:rsidRDefault="002D1817" w:rsidP="0038794B">
      <w:pPr>
        <w:autoSpaceDE w:val="0"/>
        <w:autoSpaceDN w:val="0"/>
        <w:adjustRightInd w:val="0"/>
        <w:rPr>
          <w:rFonts w:ascii="Arial" w:hAnsi="Arial" w:cs="Arial"/>
          <w:sz w:val="20"/>
          <w:szCs w:val="20"/>
        </w:rPr>
      </w:pPr>
    </w:p>
    <w:p w:rsidR="00E1145D" w:rsidRPr="00430A3B" w:rsidRDefault="00E1145D" w:rsidP="00E1145D">
      <w:pPr>
        <w:rPr>
          <w:b/>
        </w:rPr>
      </w:pPr>
      <w:r w:rsidRPr="00430A3B">
        <w:rPr>
          <w:b/>
        </w:rPr>
        <w:t>Sebastien Labbé, Head of Tax and People</w:t>
      </w:r>
    </w:p>
    <w:p w:rsidR="00BF57CA" w:rsidRPr="00430A3B" w:rsidRDefault="00BC05C4" w:rsidP="0038794B">
      <w:pPr>
        <w:autoSpaceDE w:val="0"/>
        <w:autoSpaceDN w:val="0"/>
        <w:adjustRightInd w:val="0"/>
        <w:rPr>
          <w:rFonts w:ascii="Arial" w:hAnsi="Arial" w:cs="Arial"/>
          <w:sz w:val="20"/>
          <w:szCs w:val="20"/>
        </w:rPr>
      </w:pPr>
      <w:r>
        <w:rPr>
          <w:rFonts w:ascii="Arial" w:hAnsi="Arial" w:cs="Arial"/>
          <w:sz w:val="20"/>
          <w:szCs w:val="20"/>
        </w:rPr>
        <w:t>“</w:t>
      </w:r>
      <w:r w:rsidR="002D1817" w:rsidRPr="00430A3B">
        <w:rPr>
          <w:rFonts w:ascii="Arial" w:hAnsi="Arial" w:cs="Arial"/>
          <w:sz w:val="20"/>
          <w:szCs w:val="20"/>
        </w:rPr>
        <w:t>Behind KPMG’</w:t>
      </w:r>
      <w:r w:rsidR="00311B88" w:rsidRPr="00430A3B">
        <w:rPr>
          <w:rFonts w:ascii="Arial" w:hAnsi="Arial" w:cs="Arial"/>
          <w:sz w:val="20"/>
          <w:szCs w:val="20"/>
        </w:rPr>
        <w:t>s success is its</w:t>
      </w:r>
      <w:r w:rsidR="002D1817" w:rsidRPr="00430A3B">
        <w:rPr>
          <w:rFonts w:ascii="Arial" w:hAnsi="Arial" w:cs="Arial"/>
          <w:sz w:val="20"/>
          <w:szCs w:val="20"/>
        </w:rPr>
        <w:t xml:space="preserve"> people and the quality and </w:t>
      </w:r>
      <w:r w:rsidR="00BF57CA" w:rsidRPr="00430A3B">
        <w:rPr>
          <w:rFonts w:ascii="Arial" w:hAnsi="Arial" w:cs="Arial"/>
          <w:sz w:val="20"/>
          <w:szCs w:val="20"/>
        </w:rPr>
        <w:t>value the</w:t>
      </w:r>
      <w:r w:rsidR="00E1145D" w:rsidRPr="00430A3B">
        <w:rPr>
          <w:rFonts w:ascii="Arial" w:hAnsi="Arial" w:cs="Arial"/>
          <w:sz w:val="20"/>
          <w:szCs w:val="20"/>
        </w:rPr>
        <w:t>y ingrain in</w:t>
      </w:r>
      <w:r w:rsidR="00BF57CA" w:rsidRPr="00430A3B">
        <w:rPr>
          <w:rFonts w:ascii="Arial" w:hAnsi="Arial" w:cs="Arial"/>
          <w:sz w:val="20"/>
          <w:szCs w:val="20"/>
        </w:rPr>
        <w:t xml:space="preserve"> their work. Our staff have </w:t>
      </w:r>
      <w:r w:rsidR="00E1145D" w:rsidRPr="00430A3B">
        <w:rPr>
          <w:rFonts w:ascii="Arial" w:hAnsi="Arial" w:cs="Arial"/>
          <w:sz w:val="20"/>
          <w:szCs w:val="20"/>
        </w:rPr>
        <w:t>brought</w:t>
      </w:r>
      <w:r w:rsidR="00BF57CA" w:rsidRPr="00430A3B">
        <w:rPr>
          <w:rFonts w:ascii="Arial" w:hAnsi="Arial" w:cs="Arial"/>
          <w:sz w:val="20"/>
          <w:szCs w:val="20"/>
        </w:rPr>
        <w:t xml:space="preserve"> the same commitment to our transformation as </w:t>
      </w:r>
      <w:r w:rsidR="00E1145D" w:rsidRPr="00430A3B">
        <w:rPr>
          <w:rFonts w:ascii="Arial" w:hAnsi="Arial" w:cs="Arial"/>
          <w:sz w:val="20"/>
          <w:szCs w:val="20"/>
        </w:rPr>
        <w:t xml:space="preserve">they consistently bring </w:t>
      </w:r>
      <w:r w:rsidR="00BF57CA" w:rsidRPr="00430A3B">
        <w:rPr>
          <w:rFonts w:ascii="Arial" w:hAnsi="Arial" w:cs="Arial"/>
          <w:sz w:val="20"/>
          <w:szCs w:val="20"/>
        </w:rPr>
        <w:t>to th</w:t>
      </w:r>
      <w:r w:rsidR="00E1145D" w:rsidRPr="00430A3B">
        <w:rPr>
          <w:rFonts w:ascii="Arial" w:hAnsi="Arial" w:cs="Arial"/>
          <w:sz w:val="20"/>
          <w:szCs w:val="20"/>
        </w:rPr>
        <w:t>eir everyday responsibilities</w:t>
      </w:r>
      <w:r w:rsidR="00BF57CA" w:rsidRPr="00430A3B">
        <w:rPr>
          <w:rFonts w:ascii="Arial" w:hAnsi="Arial" w:cs="Arial"/>
          <w:sz w:val="20"/>
          <w:szCs w:val="20"/>
        </w:rPr>
        <w:t xml:space="preserve">. This </w:t>
      </w:r>
      <w:r w:rsidR="00E1145D" w:rsidRPr="00430A3B">
        <w:rPr>
          <w:rFonts w:ascii="Arial" w:hAnsi="Arial" w:cs="Arial"/>
          <w:sz w:val="20"/>
          <w:szCs w:val="20"/>
        </w:rPr>
        <w:t xml:space="preserve">commitment </w:t>
      </w:r>
      <w:r w:rsidR="00BF57CA" w:rsidRPr="00430A3B">
        <w:rPr>
          <w:rFonts w:ascii="Arial" w:hAnsi="Arial" w:cs="Arial"/>
          <w:sz w:val="20"/>
          <w:szCs w:val="20"/>
        </w:rPr>
        <w:t>explains th</w:t>
      </w:r>
      <w:r w:rsidR="00E1145D" w:rsidRPr="00430A3B">
        <w:rPr>
          <w:rFonts w:ascii="Arial" w:hAnsi="Arial" w:cs="Arial"/>
          <w:sz w:val="20"/>
          <w:szCs w:val="20"/>
        </w:rPr>
        <w:t xml:space="preserve">e trust our clients place in us and the strength of the relationships they have with </w:t>
      </w:r>
      <w:r w:rsidR="00BF57CA" w:rsidRPr="00430A3B">
        <w:rPr>
          <w:rFonts w:ascii="Arial" w:hAnsi="Arial" w:cs="Arial"/>
          <w:sz w:val="20"/>
          <w:szCs w:val="20"/>
        </w:rPr>
        <w:t>our employees.</w:t>
      </w:r>
      <w:r>
        <w:rPr>
          <w:rFonts w:ascii="Arial" w:hAnsi="Arial" w:cs="Arial"/>
          <w:sz w:val="20"/>
          <w:szCs w:val="20"/>
        </w:rPr>
        <w:t>”</w:t>
      </w:r>
    </w:p>
    <w:p w:rsidR="00BF57CA" w:rsidRPr="00430A3B" w:rsidRDefault="00BF57CA" w:rsidP="0038794B">
      <w:pPr>
        <w:autoSpaceDE w:val="0"/>
        <w:autoSpaceDN w:val="0"/>
        <w:adjustRightInd w:val="0"/>
        <w:rPr>
          <w:rFonts w:ascii="Arial" w:hAnsi="Arial" w:cs="Arial"/>
          <w:sz w:val="20"/>
          <w:szCs w:val="20"/>
        </w:rPr>
      </w:pPr>
    </w:p>
    <w:tbl>
      <w:tblPr>
        <w:tblW w:w="9214" w:type="dxa"/>
        <w:tblLook w:val="04A0" w:firstRow="1" w:lastRow="0" w:firstColumn="1" w:lastColumn="0" w:noHBand="0" w:noVBand="1"/>
      </w:tblPr>
      <w:tblGrid>
        <w:gridCol w:w="3265"/>
        <w:gridCol w:w="3256"/>
        <w:gridCol w:w="2693"/>
      </w:tblGrid>
      <w:tr w:rsidR="00586B43" w:rsidRPr="00430A3B" w:rsidTr="006F47EB">
        <w:trPr>
          <w:trHeight w:val="300"/>
        </w:trPr>
        <w:tc>
          <w:tcPr>
            <w:tcW w:w="9214" w:type="dxa"/>
            <w:gridSpan w:val="3"/>
            <w:vMerge w:val="restart"/>
            <w:tcBorders>
              <w:top w:val="nil"/>
              <w:left w:val="nil"/>
              <w:bottom w:val="single" w:sz="4" w:space="0" w:color="000000"/>
              <w:right w:val="nil"/>
            </w:tcBorders>
            <w:shd w:val="clear" w:color="auto" w:fill="auto"/>
            <w:vAlign w:val="bottom"/>
            <w:hideMark/>
          </w:tcPr>
          <w:p w:rsidR="00586B43" w:rsidRPr="00430A3B" w:rsidRDefault="00586B43" w:rsidP="006F47EB">
            <w:pPr>
              <w:jc w:val="right"/>
              <w:rPr>
                <w:rFonts w:eastAsia="Times New Roman"/>
                <w:color w:val="000000"/>
              </w:rPr>
            </w:pPr>
            <w:r w:rsidRPr="00430A3B">
              <w:rPr>
                <w:rFonts w:eastAsia="Times New Roman"/>
                <w:color w:val="000000"/>
              </w:rPr>
              <w:t>THE TOPLINE</w:t>
            </w:r>
            <w:r w:rsidRPr="00430A3B">
              <w:rPr>
                <w:rFonts w:eastAsia="Times New Roman"/>
                <w:color w:val="000000"/>
              </w:rPr>
              <w:br/>
            </w:r>
            <w:r w:rsidRPr="00430A3B">
              <w:rPr>
                <w:rFonts w:eastAsia="Times New Roman"/>
                <w:color w:val="000000"/>
                <w:sz w:val="44"/>
                <w:szCs w:val="44"/>
              </w:rPr>
              <w:t>KEY FACTS</w:t>
            </w:r>
          </w:p>
        </w:tc>
      </w:tr>
      <w:tr w:rsidR="00586B43" w:rsidRPr="00430A3B" w:rsidTr="006F47EB">
        <w:trPr>
          <w:trHeight w:val="630"/>
        </w:trPr>
        <w:tc>
          <w:tcPr>
            <w:tcW w:w="9214" w:type="dxa"/>
            <w:gridSpan w:val="3"/>
            <w:vMerge/>
            <w:tcBorders>
              <w:top w:val="nil"/>
              <w:left w:val="nil"/>
              <w:bottom w:val="single" w:sz="4" w:space="0" w:color="000000"/>
              <w:right w:val="nil"/>
            </w:tcBorders>
            <w:vAlign w:val="center"/>
            <w:hideMark/>
          </w:tcPr>
          <w:p w:rsidR="00586B43" w:rsidRPr="00430A3B" w:rsidRDefault="00586B43" w:rsidP="006F47EB">
            <w:pPr>
              <w:rPr>
                <w:rFonts w:eastAsia="Times New Roman"/>
                <w:color w:val="000000"/>
              </w:rPr>
            </w:pPr>
          </w:p>
        </w:tc>
      </w:tr>
      <w:tr w:rsidR="00797E48" w:rsidRPr="00430A3B" w:rsidTr="006F47EB">
        <w:trPr>
          <w:trHeight w:val="30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eastAsia="Times New Roman"/>
                <w:color w:val="33CCCC"/>
              </w:rPr>
            </w:pPr>
            <w:r w:rsidRPr="00430A3B">
              <w:rPr>
                <w:rFonts w:eastAsia="Times New Roman"/>
                <w:color w:val="0070C0"/>
              </w:rPr>
              <w:t>REVENUES</w:t>
            </w: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AUDIT CONTRIBUTION</w:t>
            </w:r>
          </w:p>
        </w:tc>
        <w:tc>
          <w:tcPr>
            <w:tcW w:w="2693" w:type="dxa"/>
            <w:tcBorders>
              <w:top w:val="nil"/>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ADVISORY SERVICES</w:t>
            </w:r>
          </w:p>
        </w:tc>
      </w:tr>
      <w:tr w:rsidR="00797E48" w:rsidRPr="00430A3B" w:rsidTr="006F47EB">
        <w:trPr>
          <w:trHeight w:val="90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€138m</w:t>
            </w: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€70m</w:t>
            </w:r>
          </w:p>
        </w:tc>
        <w:tc>
          <w:tcPr>
            <w:tcW w:w="2693" w:type="dxa"/>
            <w:tcBorders>
              <w:top w:val="nil"/>
              <w:left w:val="nil"/>
              <w:bottom w:val="nil"/>
              <w:right w:val="nil"/>
            </w:tcBorders>
            <w:shd w:val="clear" w:color="auto" w:fill="auto"/>
            <w:noWrap/>
            <w:vAlign w:val="bottom"/>
            <w:hideMark/>
          </w:tcPr>
          <w:p w:rsidR="00797E48" w:rsidRPr="00430A3B" w:rsidRDefault="00F37B99"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€68</w:t>
            </w:r>
            <w:r w:rsidR="00797E48" w:rsidRPr="00430A3B">
              <w:rPr>
                <w:rFonts w:ascii="Kalinga" w:eastAsia="Times New Roman" w:hAnsi="Kalinga" w:cs="Kalinga"/>
                <w:color w:val="000000"/>
                <w:sz w:val="56"/>
                <w:szCs w:val="56"/>
              </w:rPr>
              <w:t>m</w:t>
            </w:r>
          </w:p>
        </w:tc>
      </w:tr>
      <w:tr w:rsidR="00797E48" w:rsidRPr="00430A3B" w:rsidTr="006F47EB">
        <w:trPr>
          <w:trHeight w:val="36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r w:rsidRPr="00430A3B">
              <w:rPr>
                <w:rFonts w:ascii="Kalinga" w:eastAsia="Times New Roman" w:hAnsi="Kalinga" w:cs="Kalinga"/>
                <w:color w:val="000000"/>
              </w:rPr>
              <w:t>(€132m: 2012)</w:t>
            </w: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r w:rsidRPr="00430A3B">
              <w:rPr>
                <w:rFonts w:ascii="Kalinga" w:eastAsia="Times New Roman" w:hAnsi="Kalinga" w:cs="Kalinga"/>
                <w:color w:val="000000"/>
              </w:rPr>
              <w:t>(€68m: 2012)</w:t>
            </w:r>
          </w:p>
        </w:tc>
        <w:tc>
          <w:tcPr>
            <w:tcW w:w="2693" w:type="dxa"/>
            <w:tcBorders>
              <w:top w:val="nil"/>
              <w:left w:val="nil"/>
              <w:bottom w:val="nil"/>
              <w:right w:val="nil"/>
            </w:tcBorders>
            <w:shd w:val="clear" w:color="auto" w:fill="auto"/>
            <w:noWrap/>
            <w:vAlign w:val="bottom"/>
            <w:hideMark/>
          </w:tcPr>
          <w:p w:rsidR="00797E48" w:rsidRPr="00430A3B" w:rsidRDefault="00FC0441" w:rsidP="00797E48">
            <w:pPr>
              <w:rPr>
                <w:rFonts w:ascii="Kalinga" w:eastAsia="Times New Roman" w:hAnsi="Kalinga" w:cs="Kalinga"/>
                <w:color w:val="000000"/>
              </w:rPr>
            </w:pPr>
            <w:r w:rsidRPr="00430A3B">
              <w:rPr>
                <w:rFonts w:ascii="Kalinga" w:eastAsia="Times New Roman" w:hAnsi="Kalinga" w:cs="Kalinga"/>
                <w:color w:val="000000"/>
              </w:rPr>
              <w:t>(€64</w:t>
            </w:r>
            <w:r w:rsidR="00797E48" w:rsidRPr="00430A3B">
              <w:rPr>
                <w:rFonts w:ascii="Kalinga" w:eastAsia="Times New Roman" w:hAnsi="Kalinga" w:cs="Kalinga"/>
                <w:color w:val="000000"/>
              </w:rPr>
              <w:t>m: 2012)</w:t>
            </w:r>
          </w:p>
        </w:tc>
      </w:tr>
      <w:tr w:rsidR="00797E48" w:rsidRPr="00430A3B" w:rsidTr="006F47EB">
        <w:trPr>
          <w:trHeight w:val="30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Times New Roman" w:eastAsia="Times New Roman" w:hAnsi="Times New Roman" w:cs="Times New Roman"/>
                <w:sz w:val="20"/>
                <w:szCs w:val="20"/>
              </w:rPr>
            </w:pP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vAlign w:val="bottom"/>
            <w:hideMark/>
          </w:tcPr>
          <w:p w:rsidR="00797E48" w:rsidRPr="00430A3B" w:rsidRDefault="00797E48" w:rsidP="00797E48">
            <w:pPr>
              <w:rPr>
                <w:rFonts w:ascii="Times New Roman" w:eastAsia="Times New Roman" w:hAnsi="Times New Roman" w:cs="Times New Roman"/>
                <w:sz w:val="20"/>
                <w:szCs w:val="20"/>
              </w:rPr>
            </w:pPr>
          </w:p>
        </w:tc>
      </w:tr>
      <w:tr w:rsidR="00797E48" w:rsidRPr="00430A3B" w:rsidTr="006F47EB">
        <w:trPr>
          <w:trHeight w:val="300"/>
        </w:trPr>
        <w:tc>
          <w:tcPr>
            <w:tcW w:w="3265" w:type="dxa"/>
            <w:tcBorders>
              <w:top w:val="single" w:sz="4" w:space="0" w:color="auto"/>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LUXEMBOURG EMPLOYEES</w:t>
            </w:r>
          </w:p>
        </w:tc>
        <w:tc>
          <w:tcPr>
            <w:tcW w:w="3256" w:type="dxa"/>
            <w:tcBorders>
              <w:top w:val="single" w:sz="4" w:space="0" w:color="auto"/>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NEWCOMERS</w:t>
            </w:r>
          </w:p>
        </w:tc>
        <w:tc>
          <w:tcPr>
            <w:tcW w:w="2693" w:type="dxa"/>
            <w:tcBorders>
              <w:top w:val="single" w:sz="4" w:space="0" w:color="auto"/>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PROMOTIONS</w:t>
            </w:r>
          </w:p>
        </w:tc>
      </w:tr>
      <w:tr w:rsidR="00797E48" w:rsidRPr="00430A3B" w:rsidTr="006F47EB">
        <w:trPr>
          <w:trHeight w:val="90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1 199</w:t>
            </w: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293</w:t>
            </w:r>
          </w:p>
        </w:tc>
        <w:tc>
          <w:tcPr>
            <w:tcW w:w="2693"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291</w:t>
            </w:r>
          </w:p>
        </w:tc>
      </w:tr>
      <w:tr w:rsidR="00797E48" w:rsidRPr="00430A3B" w:rsidTr="006F47EB">
        <w:trPr>
          <w:trHeight w:val="36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r w:rsidRPr="00430A3B">
              <w:rPr>
                <w:rFonts w:ascii="Kalinga" w:eastAsia="Times New Roman" w:hAnsi="Kalinga" w:cs="Kalinga"/>
                <w:color w:val="000000"/>
              </w:rPr>
              <w:t>in December 2013</w:t>
            </w: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r w:rsidRPr="00430A3B">
              <w:rPr>
                <w:rFonts w:ascii="Kalinga" w:eastAsia="Times New Roman" w:hAnsi="Kalinga" w:cs="Kalinga"/>
                <w:color w:val="000000"/>
              </w:rPr>
              <w:t>in September/October 2013</w:t>
            </w:r>
          </w:p>
        </w:tc>
        <w:tc>
          <w:tcPr>
            <w:tcW w:w="2693"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r w:rsidRPr="00430A3B">
              <w:rPr>
                <w:rFonts w:ascii="Kalinga" w:eastAsia="Times New Roman" w:hAnsi="Kalinga" w:cs="Kalinga"/>
                <w:color w:val="000000"/>
              </w:rPr>
              <w:t>in October 2013</w:t>
            </w:r>
          </w:p>
        </w:tc>
      </w:tr>
      <w:tr w:rsidR="00797E48" w:rsidRPr="00430A3B" w:rsidTr="006F47EB">
        <w:trPr>
          <w:trHeight w:val="300"/>
        </w:trPr>
        <w:tc>
          <w:tcPr>
            <w:tcW w:w="3265" w:type="dxa"/>
            <w:tcBorders>
              <w:top w:val="nil"/>
              <w:left w:val="nil"/>
              <w:bottom w:val="nil"/>
              <w:right w:val="nil"/>
            </w:tcBorders>
            <w:shd w:val="clear" w:color="auto" w:fill="auto"/>
            <w:noWrap/>
            <w:vAlign w:val="bottom"/>
            <w:hideMark/>
          </w:tcPr>
          <w:p w:rsidR="00797E48" w:rsidRPr="00430A3B" w:rsidRDefault="00797E48" w:rsidP="00797E48">
            <w:pPr>
              <w:rPr>
                <w:rFonts w:ascii="Kalinga" w:eastAsia="Times New Roman" w:hAnsi="Kalinga" w:cs="Kalinga"/>
                <w:color w:val="000000"/>
              </w:rPr>
            </w:pPr>
          </w:p>
        </w:tc>
        <w:tc>
          <w:tcPr>
            <w:tcW w:w="3256" w:type="dxa"/>
            <w:tcBorders>
              <w:top w:val="nil"/>
              <w:left w:val="nil"/>
              <w:bottom w:val="nil"/>
              <w:right w:val="nil"/>
            </w:tcBorders>
            <w:shd w:val="clear" w:color="auto" w:fill="auto"/>
            <w:noWrap/>
            <w:vAlign w:val="bottom"/>
            <w:hideMark/>
          </w:tcPr>
          <w:p w:rsidR="00797E48" w:rsidRPr="00430A3B" w:rsidRDefault="00797E48" w:rsidP="00797E48">
            <w:pPr>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vAlign w:val="bottom"/>
            <w:hideMark/>
          </w:tcPr>
          <w:p w:rsidR="00797E48" w:rsidRPr="00430A3B" w:rsidRDefault="00797E48" w:rsidP="00797E48">
            <w:pPr>
              <w:rPr>
                <w:rFonts w:ascii="Times New Roman" w:eastAsia="Times New Roman" w:hAnsi="Times New Roman" w:cs="Times New Roman"/>
                <w:sz w:val="20"/>
                <w:szCs w:val="20"/>
              </w:rPr>
            </w:pPr>
          </w:p>
        </w:tc>
      </w:tr>
      <w:tr w:rsidR="00797E48" w:rsidRPr="00430A3B" w:rsidTr="00797E48">
        <w:trPr>
          <w:trHeight w:val="300"/>
        </w:trPr>
        <w:tc>
          <w:tcPr>
            <w:tcW w:w="3265" w:type="dxa"/>
            <w:tcBorders>
              <w:top w:val="single" w:sz="4" w:space="0" w:color="auto"/>
              <w:left w:val="nil"/>
              <w:bottom w:val="nil"/>
              <w:right w:val="nil"/>
            </w:tcBorders>
            <w:shd w:val="clear" w:color="auto" w:fill="auto"/>
            <w:noWrap/>
            <w:vAlign w:val="bottom"/>
            <w:hideMark/>
          </w:tcPr>
          <w:p w:rsidR="00797E48" w:rsidRPr="00430A3B" w:rsidRDefault="00797E48" w:rsidP="00797E48">
            <w:pPr>
              <w:rPr>
                <w:rFonts w:eastAsia="Times New Roman"/>
                <w:color w:val="0070C0"/>
              </w:rPr>
            </w:pPr>
            <w:r w:rsidRPr="00430A3B">
              <w:rPr>
                <w:rFonts w:eastAsia="Times New Roman"/>
                <w:color w:val="0070C0"/>
              </w:rPr>
              <w:t>DONATIONS</w:t>
            </w:r>
          </w:p>
        </w:tc>
        <w:tc>
          <w:tcPr>
            <w:tcW w:w="3256" w:type="dxa"/>
            <w:tcBorders>
              <w:top w:val="single" w:sz="4" w:space="0" w:color="auto"/>
              <w:left w:val="nil"/>
              <w:bottom w:val="nil"/>
              <w:right w:val="nil"/>
            </w:tcBorders>
            <w:shd w:val="clear" w:color="auto" w:fill="auto"/>
            <w:noWrap/>
            <w:vAlign w:val="bottom"/>
          </w:tcPr>
          <w:p w:rsidR="00797E48" w:rsidRPr="00430A3B" w:rsidRDefault="00797E48" w:rsidP="00797E48">
            <w:pPr>
              <w:rPr>
                <w:rFonts w:eastAsia="Times New Roman"/>
                <w:color w:val="0070C0"/>
              </w:rPr>
            </w:pPr>
          </w:p>
        </w:tc>
        <w:tc>
          <w:tcPr>
            <w:tcW w:w="2693" w:type="dxa"/>
            <w:tcBorders>
              <w:top w:val="single" w:sz="4" w:space="0" w:color="auto"/>
              <w:left w:val="nil"/>
              <w:bottom w:val="nil"/>
              <w:right w:val="nil"/>
            </w:tcBorders>
            <w:shd w:val="clear" w:color="auto" w:fill="auto"/>
            <w:noWrap/>
            <w:vAlign w:val="bottom"/>
          </w:tcPr>
          <w:p w:rsidR="00797E48" w:rsidRPr="00430A3B" w:rsidRDefault="00797E48" w:rsidP="00797E48">
            <w:pPr>
              <w:rPr>
                <w:rFonts w:eastAsia="Times New Roman"/>
                <w:color w:val="0070C0"/>
              </w:rPr>
            </w:pPr>
          </w:p>
        </w:tc>
      </w:tr>
      <w:tr w:rsidR="00797E48" w:rsidRPr="00430A3B" w:rsidTr="00797E48">
        <w:trPr>
          <w:trHeight w:val="900"/>
        </w:trPr>
        <w:tc>
          <w:tcPr>
            <w:tcW w:w="3265" w:type="dxa"/>
            <w:tcBorders>
              <w:top w:val="nil"/>
              <w:left w:val="nil"/>
              <w:bottom w:val="nil"/>
              <w:right w:val="nil"/>
            </w:tcBorders>
            <w:shd w:val="clear" w:color="auto" w:fill="auto"/>
            <w:noWrap/>
            <w:vAlign w:val="bottom"/>
            <w:hideMark/>
          </w:tcPr>
          <w:p w:rsidR="00797E48" w:rsidRPr="00430A3B" w:rsidRDefault="00F37B99" w:rsidP="00797E48">
            <w:pPr>
              <w:rPr>
                <w:rFonts w:ascii="Kalinga" w:eastAsia="Times New Roman" w:hAnsi="Kalinga" w:cs="Kalinga"/>
                <w:color w:val="000000"/>
                <w:sz w:val="56"/>
                <w:szCs w:val="56"/>
              </w:rPr>
            </w:pPr>
            <w:r w:rsidRPr="00430A3B">
              <w:rPr>
                <w:rFonts w:ascii="Kalinga" w:eastAsia="Times New Roman" w:hAnsi="Kalinga" w:cs="Kalinga"/>
                <w:color w:val="000000"/>
                <w:sz w:val="56"/>
                <w:szCs w:val="56"/>
              </w:rPr>
              <w:t>€230K</w:t>
            </w:r>
          </w:p>
        </w:tc>
        <w:tc>
          <w:tcPr>
            <w:tcW w:w="3256" w:type="dxa"/>
            <w:tcBorders>
              <w:top w:val="nil"/>
              <w:left w:val="nil"/>
              <w:bottom w:val="nil"/>
              <w:right w:val="nil"/>
            </w:tcBorders>
            <w:shd w:val="clear" w:color="auto" w:fill="auto"/>
            <w:noWrap/>
            <w:vAlign w:val="bottom"/>
          </w:tcPr>
          <w:p w:rsidR="00797E48" w:rsidRPr="00430A3B" w:rsidRDefault="00797E48" w:rsidP="00797E48">
            <w:pPr>
              <w:rPr>
                <w:rFonts w:ascii="Kalinga" w:eastAsia="Times New Roman" w:hAnsi="Kalinga" w:cs="Kalinga"/>
                <w:color w:val="000000"/>
                <w:sz w:val="56"/>
                <w:szCs w:val="56"/>
              </w:rPr>
            </w:pPr>
          </w:p>
        </w:tc>
        <w:tc>
          <w:tcPr>
            <w:tcW w:w="2693" w:type="dxa"/>
            <w:tcBorders>
              <w:top w:val="nil"/>
              <w:left w:val="nil"/>
              <w:bottom w:val="nil"/>
              <w:right w:val="nil"/>
            </w:tcBorders>
            <w:shd w:val="clear" w:color="auto" w:fill="auto"/>
            <w:noWrap/>
            <w:vAlign w:val="bottom"/>
          </w:tcPr>
          <w:p w:rsidR="00797E48" w:rsidRPr="00430A3B" w:rsidRDefault="00797E48" w:rsidP="00797E48">
            <w:pPr>
              <w:rPr>
                <w:rFonts w:ascii="Kalinga" w:eastAsia="Times New Roman" w:hAnsi="Kalinga" w:cs="Kalinga"/>
                <w:color w:val="000000"/>
                <w:sz w:val="56"/>
                <w:szCs w:val="56"/>
              </w:rPr>
            </w:pPr>
          </w:p>
        </w:tc>
      </w:tr>
      <w:tr w:rsidR="00797E48" w:rsidRPr="00A42CE7" w:rsidTr="00430A3B">
        <w:trPr>
          <w:trHeight w:val="145"/>
        </w:trPr>
        <w:tc>
          <w:tcPr>
            <w:tcW w:w="3265" w:type="dxa"/>
            <w:tcBorders>
              <w:top w:val="nil"/>
              <w:left w:val="nil"/>
              <w:bottom w:val="nil"/>
              <w:right w:val="nil"/>
            </w:tcBorders>
            <w:shd w:val="clear" w:color="auto" w:fill="auto"/>
            <w:noWrap/>
            <w:vAlign w:val="bottom"/>
            <w:hideMark/>
          </w:tcPr>
          <w:p w:rsidR="00797E48" w:rsidRPr="00430A3B" w:rsidRDefault="00EB4383" w:rsidP="00797E48">
            <w:pPr>
              <w:rPr>
                <w:rFonts w:ascii="Kalinga" w:eastAsia="Times New Roman" w:hAnsi="Kalinga" w:cs="Kalinga"/>
                <w:color w:val="000000"/>
              </w:rPr>
            </w:pPr>
            <w:r w:rsidRPr="00430A3B">
              <w:rPr>
                <w:rFonts w:ascii="Kalinga" w:eastAsia="Times New Roman" w:hAnsi="Kalinga" w:cs="Kalinga"/>
                <w:color w:val="000000"/>
              </w:rPr>
              <w:t>t</w:t>
            </w:r>
            <w:r w:rsidR="00797E48" w:rsidRPr="00430A3B">
              <w:rPr>
                <w:rFonts w:ascii="Kalinga" w:eastAsia="Times New Roman" w:hAnsi="Kalinga" w:cs="Kalinga"/>
                <w:color w:val="000000"/>
              </w:rPr>
              <w:t>o charity</w:t>
            </w:r>
          </w:p>
        </w:tc>
        <w:tc>
          <w:tcPr>
            <w:tcW w:w="3256" w:type="dxa"/>
            <w:tcBorders>
              <w:top w:val="nil"/>
              <w:left w:val="nil"/>
              <w:bottom w:val="nil"/>
              <w:right w:val="nil"/>
            </w:tcBorders>
            <w:shd w:val="clear" w:color="auto" w:fill="auto"/>
            <w:noWrap/>
            <w:vAlign w:val="bottom"/>
          </w:tcPr>
          <w:p w:rsidR="00797E48" w:rsidRPr="00A42CE7" w:rsidRDefault="00797E48" w:rsidP="00797E48">
            <w:pPr>
              <w:rPr>
                <w:rFonts w:ascii="Kalinga" w:eastAsia="Times New Roman" w:hAnsi="Kalinga" w:cs="Kalinga"/>
                <w:color w:val="000000"/>
              </w:rPr>
            </w:pPr>
          </w:p>
        </w:tc>
        <w:tc>
          <w:tcPr>
            <w:tcW w:w="2693" w:type="dxa"/>
            <w:tcBorders>
              <w:top w:val="nil"/>
              <w:left w:val="nil"/>
              <w:bottom w:val="nil"/>
              <w:right w:val="nil"/>
            </w:tcBorders>
            <w:shd w:val="clear" w:color="auto" w:fill="auto"/>
            <w:noWrap/>
            <w:vAlign w:val="bottom"/>
          </w:tcPr>
          <w:p w:rsidR="00797E48" w:rsidRPr="00A42CE7" w:rsidRDefault="00797E48" w:rsidP="00797E48">
            <w:pPr>
              <w:rPr>
                <w:rFonts w:ascii="Kalinga" w:eastAsia="Times New Roman" w:hAnsi="Kalinga" w:cs="Kalinga"/>
                <w:color w:val="000000"/>
              </w:rPr>
            </w:pPr>
          </w:p>
        </w:tc>
      </w:tr>
    </w:tbl>
    <w:p w:rsidR="00586B43" w:rsidRDefault="00586B43" w:rsidP="00586B43">
      <w:pPr>
        <w:autoSpaceDE w:val="0"/>
        <w:autoSpaceDN w:val="0"/>
        <w:adjustRightInd w:val="0"/>
        <w:rPr>
          <w:rFonts w:ascii="Arial" w:hAnsi="Arial" w:cs="Arial"/>
          <w:b/>
          <w:sz w:val="20"/>
          <w:szCs w:val="20"/>
        </w:rPr>
      </w:pPr>
    </w:p>
    <w:p w:rsidR="00797E48" w:rsidRDefault="00797E48" w:rsidP="00586B43">
      <w:pPr>
        <w:rPr>
          <w:rFonts w:ascii="Kalinga" w:eastAsia="Times New Roman" w:hAnsi="Kalinga" w:cs="Kalinga"/>
          <w:b/>
          <w:color w:val="000000"/>
        </w:rPr>
      </w:pPr>
    </w:p>
    <w:p w:rsidR="00EC7EB4" w:rsidRDefault="00EC7EB4" w:rsidP="00586B43">
      <w:pPr>
        <w:rPr>
          <w:rFonts w:ascii="Kalinga" w:eastAsia="Times New Roman" w:hAnsi="Kalinga" w:cs="Kalinga"/>
          <w:b/>
          <w:color w:val="000000"/>
        </w:rPr>
        <w:sectPr w:rsidR="00EC7EB4" w:rsidSect="007F24A4">
          <w:footerReference w:type="default" r:id="rId7"/>
          <w:pgSz w:w="12240" w:h="15840"/>
          <w:pgMar w:top="1440" w:right="1440" w:bottom="1440" w:left="1440" w:header="708" w:footer="708" w:gutter="0"/>
          <w:cols w:space="708"/>
          <w:docGrid w:linePitch="360"/>
        </w:sectPr>
      </w:pPr>
    </w:p>
    <w:p w:rsidR="00586B43" w:rsidRPr="00481DBC" w:rsidRDefault="00586B43" w:rsidP="00586B43">
      <w:pPr>
        <w:rPr>
          <w:rFonts w:ascii="Kalinga" w:eastAsia="Times New Roman" w:hAnsi="Kalinga" w:cs="Kalinga"/>
          <w:b/>
          <w:color w:val="000000"/>
        </w:rPr>
      </w:pPr>
      <w:r>
        <w:rPr>
          <w:rFonts w:ascii="Kalinga" w:eastAsia="Times New Roman" w:hAnsi="Kalinga" w:cs="Kalinga"/>
          <w:b/>
          <w:color w:val="000000"/>
        </w:rPr>
        <w:lastRenderedPageBreak/>
        <w:t>Follow KPMG Luxembourg on</w:t>
      </w:r>
      <w:r w:rsidRPr="00481DBC">
        <w:rPr>
          <w:rFonts w:ascii="Kalinga" w:eastAsia="Times New Roman" w:hAnsi="Kalinga" w:cs="Kalinga"/>
          <w:b/>
          <w:color w:val="000000"/>
        </w:rPr>
        <w:t>:</w:t>
      </w:r>
    </w:p>
    <w:p w:rsidR="00586B43" w:rsidRPr="00586B43" w:rsidRDefault="00586B43" w:rsidP="00586B43">
      <w:pPr>
        <w:rPr>
          <w:rFonts w:ascii="Arial" w:hAnsi="Arial" w:cs="Arial"/>
          <w:sz w:val="20"/>
          <w:szCs w:val="20"/>
        </w:rPr>
      </w:pPr>
      <w:r>
        <w:rPr>
          <w:rFonts w:ascii="Verdana" w:hAnsi="Verdana"/>
          <w:noProof/>
          <w:color w:val="007C92"/>
          <w:sz w:val="16"/>
          <w:szCs w:val="16"/>
        </w:rPr>
        <w:drawing>
          <wp:inline distT="0" distB="0" distL="0" distR="0">
            <wp:extent cx="781200" cy="288000"/>
            <wp:effectExtent l="0" t="0" r="0" b="0"/>
            <wp:docPr id="1" name="Picture 1" descr="http://www.kpmg.com/LU/en/PublishingImages/39-kennedy-avenue-logo-190x7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pmg.com/LU/en/PublishingImages/39-kennedy-avenue-logo-190x70.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200" cy="288000"/>
                    </a:xfrm>
                    <a:prstGeom prst="rect">
                      <a:avLst/>
                    </a:prstGeom>
                    <a:noFill/>
                    <a:ln>
                      <a:noFill/>
                    </a:ln>
                  </pic:spPr>
                </pic:pic>
              </a:graphicData>
            </a:graphic>
          </wp:inline>
        </w:drawing>
      </w:r>
      <w:r>
        <w:rPr>
          <w:rFonts w:ascii="Arial" w:eastAsia="Times New Roman" w:hAnsi="Arial" w:cs="Arial"/>
          <w:noProof/>
          <w:color w:val="800080"/>
          <w:sz w:val="18"/>
          <w:szCs w:val="18"/>
        </w:rPr>
        <w:drawing>
          <wp:inline distT="0" distB="0" distL="0" distR="0">
            <wp:extent cx="152400" cy="180975"/>
            <wp:effectExtent l="0" t="0" r="0" b="9525"/>
            <wp:docPr id="2" name="Picture 2" descr="image00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Arial" w:eastAsia="Times New Roman" w:hAnsi="Arial" w:cs="Arial"/>
          <w:noProof/>
          <w:color w:val="1F497D"/>
          <w:sz w:val="18"/>
          <w:szCs w:val="18"/>
        </w:rPr>
        <w:t>  </w:t>
      </w:r>
      <w:r>
        <w:rPr>
          <w:rFonts w:ascii="Arial" w:eastAsia="Times New Roman" w:hAnsi="Arial" w:cs="Arial"/>
          <w:noProof/>
          <w:color w:val="800080"/>
          <w:sz w:val="18"/>
          <w:szCs w:val="18"/>
        </w:rPr>
        <w:drawing>
          <wp:inline distT="0" distB="0" distL="0" distR="0">
            <wp:extent cx="152400" cy="180975"/>
            <wp:effectExtent l="0" t="0" r="0" b="9525"/>
            <wp:docPr id="3" name="Picture 3" descr="image00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Arial" w:eastAsia="Times New Roman" w:hAnsi="Arial" w:cs="Arial"/>
          <w:noProof/>
          <w:color w:val="1F497D"/>
          <w:sz w:val="18"/>
          <w:szCs w:val="18"/>
        </w:rPr>
        <w:t>  </w:t>
      </w:r>
      <w:r>
        <w:rPr>
          <w:rFonts w:ascii="Arial" w:eastAsia="Times New Roman" w:hAnsi="Arial" w:cs="Arial"/>
          <w:noProof/>
          <w:color w:val="800080"/>
          <w:sz w:val="18"/>
          <w:szCs w:val="18"/>
        </w:rPr>
        <w:drawing>
          <wp:inline distT="0" distB="0" distL="0" distR="0">
            <wp:extent cx="152400" cy="180975"/>
            <wp:effectExtent l="0" t="0" r="0" b="9525"/>
            <wp:docPr id="4" name="Picture 4" descr="image00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Arial" w:eastAsia="Times New Roman" w:hAnsi="Arial" w:cs="Arial"/>
          <w:noProof/>
          <w:color w:val="1F497D"/>
          <w:sz w:val="18"/>
          <w:szCs w:val="18"/>
        </w:rPr>
        <w:t>  </w:t>
      </w:r>
      <w:r>
        <w:rPr>
          <w:rFonts w:ascii="Arial" w:eastAsia="Times New Roman" w:hAnsi="Arial" w:cs="Arial"/>
          <w:noProof/>
          <w:color w:val="800080"/>
          <w:sz w:val="18"/>
          <w:szCs w:val="18"/>
        </w:rPr>
        <w:drawing>
          <wp:inline distT="0" distB="0" distL="0" distR="0">
            <wp:extent cx="152400" cy="180975"/>
            <wp:effectExtent l="0" t="0" r="0" b="9525"/>
            <wp:docPr id="5" name="Picture 5" descr="image00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Arial" w:eastAsia="Times New Roman" w:hAnsi="Arial" w:cs="Arial"/>
          <w:noProof/>
          <w:color w:val="1F497D"/>
          <w:sz w:val="18"/>
          <w:szCs w:val="18"/>
        </w:rPr>
        <w:t>  </w:t>
      </w:r>
    </w:p>
    <w:p w:rsidR="00586B43" w:rsidRPr="00586B43" w:rsidRDefault="00586B43" w:rsidP="00586B43">
      <w:pPr>
        <w:rPr>
          <w:rFonts w:ascii="Arial" w:hAnsi="Arial" w:cs="Arial"/>
          <w:sz w:val="20"/>
          <w:szCs w:val="20"/>
        </w:rPr>
      </w:pPr>
    </w:p>
    <w:p w:rsidR="00586B43" w:rsidRPr="00586B43" w:rsidRDefault="00586B43" w:rsidP="00586B43">
      <w:pPr>
        <w:rPr>
          <w:rFonts w:ascii="Arial" w:hAnsi="Arial" w:cs="Arial"/>
          <w:sz w:val="20"/>
          <w:szCs w:val="20"/>
        </w:rPr>
      </w:pPr>
    </w:p>
    <w:p w:rsidR="00B60D59" w:rsidRPr="00B60D59" w:rsidRDefault="00B60D59" w:rsidP="00B60D59">
      <w:pPr>
        <w:rPr>
          <w:rFonts w:ascii="Arial" w:eastAsia="Times New Roman" w:hAnsi="Arial" w:cs="Arial"/>
          <w:b/>
          <w:sz w:val="20"/>
          <w:szCs w:val="20"/>
          <w:u w:val="single"/>
        </w:rPr>
      </w:pPr>
      <w:r w:rsidRPr="00B60D59">
        <w:rPr>
          <w:rFonts w:ascii="Arial" w:eastAsia="Times New Roman" w:hAnsi="Arial" w:cs="Arial"/>
          <w:b/>
          <w:sz w:val="20"/>
          <w:szCs w:val="20"/>
          <w:u w:val="single"/>
        </w:rPr>
        <w:lastRenderedPageBreak/>
        <w:t>Press contact</w:t>
      </w:r>
    </w:p>
    <w:p w:rsidR="00B60D59" w:rsidRDefault="00B60D59" w:rsidP="00B60D59">
      <w:pPr>
        <w:rPr>
          <w:rFonts w:eastAsia="Times New Roman"/>
        </w:rPr>
      </w:pPr>
      <w:r>
        <w:rPr>
          <w:rFonts w:ascii="Arial" w:eastAsia="Times New Roman" w:hAnsi="Arial" w:cs="Arial"/>
          <w:sz w:val="20"/>
          <w:szCs w:val="20"/>
        </w:rPr>
        <w:t>Geneviève Feyt</w:t>
      </w:r>
    </w:p>
    <w:p w:rsidR="00B60D59" w:rsidRDefault="00B60D59" w:rsidP="00B60D59">
      <w:pPr>
        <w:rPr>
          <w:rFonts w:eastAsia="Times New Roman"/>
        </w:rPr>
      </w:pPr>
      <w:r w:rsidRPr="00EC7EB4">
        <w:rPr>
          <w:rFonts w:ascii="Arial" w:eastAsia="Times New Roman" w:hAnsi="Arial" w:cs="Arial"/>
          <w:sz w:val="20"/>
          <w:szCs w:val="20"/>
        </w:rPr>
        <w:t>Tel: 22 51 51 2903</w:t>
      </w:r>
      <w:r w:rsidRPr="00EC7EB4">
        <w:rPr>
          <w:rFonts w:ascii="Arial" w:eastAsia="Times New Roman" w:hAnsi="Arial" w:cs="Arial"/>
          <w:sz w:val="20"/>
          <w:szCs w:val="20"/>
        </w:rPr>
        <w:br/>
        <w:t>Mob: 621 87 2903</w:t>
      </w:r>
      <w:r w:rsidRPr="00EC7EB4">
        <w:rPr>
          <w:rFonts w:ascii="Arial" w:eastAsia="Times New Roman" w:hAnsi="Arial" w:cs="Arial"/>
          <w:sz w:val="20"/>
          <w:szCs w:val="20"/>
        </w:rPr>
        <w:br/>
        <w:t>E-mail:</w:t>
      </w:r>
      <w:r w:rsidRPr="00EC7EB4">
        <w:rPr>
          <w:rStyle w:val="apple-converted-space"/>
          <w:rFonts w:ascii="Arial" w:eastAsia="Times New Roman" w:hAnsi="Arial" w:cs="Arial"/>
          <w:sz w:val="20"/>
          <w:szCs w:val="20"/>
        </w:rPr>
        <w:t> </w:t>
      </w:r>
      <w:hyperlink r:id="rId18" w:history="1">
        <w:r w:rsidRPr="00EC7EB4">
          <w:rPr>
            <w:rStyle w:val="Hyperlink"/>
            <w:rFonts w:ascii="Arial" w:eastAsia="Times New Roman" w:hAnsi="Arial" w:cs="Arial"/>
            <w:sz w:val="20"/>
            <w:szCs w:val="20"/>
          </w:rPr>
          <w:t>genevieve.feyt@kpmg.lu</w:t>
        </w:r>
      </w:hyperlink>
    </w:p>
    <w:p w:rsidR="00EC7EB4" w:rsidRDefault="00EC7EB4" w:rsidP="00586B43">
      <w:pPr>
        <w:jc w:val="center"/>
        <w:rPr>
          <w:rFonts w:ascii="Arial" w:hAnsi="Arial" w:cs="Arial"/>
          <w:sz w:val="20"/>
          <w:szCs w:val="20"/>
        </w:rPr>
        <w:sectPr w:rsidR="00EC7EB4" w:rsidSect="00EC7EB4">
          <w:type w:val="continuous"/>
          <w:pgSz w:w="12240" w:h="15840"/>
          <w:pgMar w:top="1440" w:right="1440" w:bottom="1440" w:left="1440" w:header="708" w:footer="708" w:gutter="0"/>
          <w:cols w:num="2" w:space="708"/>
          <w:docGrid w:linePitch="360"/>
        </w:sectPr>
      </w:pPr>
    </w:p>
    <w:p w:rsidR="00315B6B" w:rsidRPr="00586B43" w:rsidRDefault="00315B6B" w:rsidP="00586B43">
      <w:pPr>
        <w:jc w:val="center"/>
        <w:rPr>
          <w:rFonts w:ascii="Arial" w:hAnsi="Arial" w:cs="Arial"/>
          <w:sz w:val="20"/>
          <w:szCs w:val="20"/>
        </w:rPr>
      </w:pPr>
    </w:p>
    <w:sectPr w:rsidR="00315B6B" w:rsidRPr="00586B43" w:rsidSect="00EC7E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B4" w:rsidRDefault="00EC7EB4" w:rsidP="00EC7EB4">
      <w:r>
        <w:separator/>
      </w:r>
    </w:p>
  </w:endnote>
  <w:endnote w:type="continuationSeparator" w:id="0">
    <w:p w:rsidR="00EC7EB4" w:rsidRDefault="00EC7EB4" w:rsidP="00E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B4" w:rsidRPr="00EC7EB4" w:rsidRDefault="00EC7EB4" w:rsidP="00EC7EB4">
    <w:pPr>
      <w:rPr>
        <w:rFonts w:ascii="Arial" w:eastAsia="Times New Roman" w:hAnsi="Arial" w:cs="Arial"/>
        <w:b/>
        <w:sz w:val="20"/>
        <w:szCs w:val="20"/>
        <w:u w:val="single"/>
      </w:rPr>
    </w:pPr>
  </w:p>
  <w:p w:rsidR="00EC7EB4" w:rsidRDefault="00EC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B4" w:rsidRDefault="00EC7EB4" w:rsidP="00EC7EB4">
      <w:r>
        <w:separator/>
      </w:r>
    </w:p>
  </w:footnote>
  <w:footnote w:type="continuationSeparator" w:id="0">
    <w:p w:rsidR="00EC7EB4" w:rsidRDefault="00EC7EB4" w:rsidP="00EC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57E10"/>
    <w:rsid w:val="00000B1C"/>
    <w:rsid w:val="00051BAB"/>
    <w:rsid w:val="00077892"/>
    <w:rsid w:val="000A795E"/>
    <w:rsid w:val="00144942"/>
    <w:rsid w:val="0015100A"/>
    <w:rsid w:val="001717E0"/>
    <w:rsid w:val="0017467E"/>
    <w:rsid w:val="0018088E"/>
    <w:rsid w:val="001A281B"/>
    <w:rsid w:val="001B4F45"/>
    <w:rsid w:val="0022117F"/>
    <w:rsid w:val="0026403F"/>
    <w:rsid w:val="002D1817"/>
    <w:rsid w:val="00310BBD"/>
    <w:rsid w:val="00311B88"/>
    <w:rsid w:val="00315B6B"/>
    <w:rsid w:val="00367AFF"/>
    <w:rsid w:val="0038794B"/>
    <w:rsid w:val="00401CB1"/>
    <w:rsid w:val="00430A3B"/>
    <w:rsid w:val="00435485"/>
    <w:rsid w:val="004358DD"/>
    <w:rsid w:val="00467035"/>
    <w:rsid w:val="004F3993"/>
    <w:rsid w:val="00532FC1"/>
    <w:rsid w:val="00586B43"/>
    <w:rsid w:val="005C638D"/>
    <w:rsid w:val="005D5D44"/>
    <w:rsid w:val="005F0B9B"/>
    <w:rsid w:val="00631A8B"/>
    <w:rsid w:val="006A69BB"/>
    <w:rsid w:val="006E6EEF"/>
    <w:rsid w:val="006F017C"/>
    <w:rsid w:val="00712573"/>
    <w:rsid w:val="0071379F"/>
    <w:rsid w:val="00797E48"/>
    <w:rsid w:val="007A15E4"/>
    <w:rsid w:val="007B22FE"/>
    <w:rsid w:val="007E23DF"/>
    <w:rsid w:val="007F24A4"/>
    <w:rsid w:val="00875D36"/>
    <w:rsid w:val="008B1842"/>
    <w:rsid w:val="00933884"/>
    <w:rsid w:val="009E0612"/>
    <w:rsid w:val="009E33BF"/>
    <w:rsid w:val="00A07668"/>
    <w:rsid w:val="00AB4232"/>
    <w:rsid w:val="00AF305E"/>
    <w:rsid w:val="00B0088E"/>
    <w:rsid w:val="00B42B2E"/>
    <w:rsid w:val="00B43FF3"/>
    <w:rsid w:val="00B60D59"/>
    <w:rsid w:val="00B97C4A"/>
    <w:rsid w:val="00BA6355"/>
    <w:rsid w:val="00BC05C4"/>
    <w:rsid w:val="00BC4239"/>
    <w:rsid w:val="00BC50C4"/>
    <w:rsid w:val="00BF3526"/>
    <w:rsid w:val="00BF57CA"/>
    <w:rsid w:val="00C0120A"/>
    <w:rsid w:val="00C016D2"/>
    <w:rsid w:val="00C6352B"/>
    <w:rsid w:val="00C90D9E"/>
    <w:rsid w:val="00CB5CDE"/>
    <w:rsid w:val="00CB6EC7"/>
    <w:rsid w:val="00D63757"/>
    <w:rsid w:val="00E01765"/>
    <w:rsid w:val="00E01B65"/>
    <w:rsid w:val="00E1145D"/>
    <w:rsid w:val="00E30E25"/>
    <w:rsid w:val="00E42C33"/>
    <w:rsid w:val="00EB4383"/>
    <w:rsid w:val="00EC7EB4"/>
    <w:rsid w:val="00EE3F40"/>
    <w:rsid w:val="00F37B99"/>
    <w:rsid w:val="00F57E10"/>
    <w:rsid w:val="00F90F1A"/>
    <w:rsid w:val="00FC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2D088D-763C-4F70-8719-F3BAFA89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10"/>
    <w:pPr>
      <w:spacing w:after="0" w:line="240" w:lineRule="auto"/>
    </w:pPr>
    <w:rPr>
      <w:rFonts w:ascii="Calibri" w:hAnsi="Calibri" w:cs="Calibri"/>
    </w:rPr>
  </w:style>
  <w:style w:type="paragraph" w:styleId="Heading1">
    <w:name w:val="heading 1"/>
    <w:basedOn w:val="Normal"/>
    <w:next w:val="Normal"/>
    <w:link w:val="Heading1Char"/>
    <w:uiPriority w:val="9"/>
    <w:qFormat/>
    <w:rsid w:val="00F57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C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10"/>
    <w:pPr>
      <w:ind w:left="720"/>
    </w:pPr>
  </w:style>
  <w:style w:type="character" w:customStyle="1" w:styleId="Heading1Char">
    <w:name w:val="Heading 1 Char"/>
    <w:basedOn w:val="DefaultParagraphFont"/>
    <w:link w:val="Heading1"/>
    <w:uiPriority w:val="9"/>
    <w:rsid w:val="00F57E1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281B"/>
    <w:rPr>
      <w:b/>
      <w:bCs/>
    </w:rPr>
  </w:style>
  <w:style w:type="paragraph" w:styleId="NormalWeb">
    <w:name w:val="Normal (Web)"/>
    <w:basedOn w:val="Normal"/>
    <w:uiPriority w:val="99"/>
    <w:unhideWhenUsed/>
    <w:rsid w:val="001A281B"/>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1CB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6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FF"/>
    <w:rPr>
      <w:rFonts w:ascii="Segoe UI" w:hAnsi="Segoe UI" w:cs="Segoe UI"/>
      <w:sz w:val="18"/>
      <w:szCs w:val="18"/>
    </w:rPr>
  </w:style>
  <w:style w:type="character" w:styleId="CommentReference">
    <w:name w:val="annotation reference"/>
    <w:basedOn w:val="DefaultParagraphFont"/>
    <w:uiPriority w:val="99"/>
    <w:semiHidden/>
    <w:unhideWhenUsed/>
    <w:rsid w:val="009E0612"/>
    <w:rPr>
      <w:sz w:val="16"/>
      <w:szCs w:val="16"/>
    </w:rPr>
  </w:style>
  <w:style w:type="paragraph" w:styleId="CommentText">
    <w:name w:val="annotation text"/>
    <w:basedOn w:val="Normal"/>
    <w:link w:val="CommentTextChar"/>
    <w:uiPriority w:val="99"/>
    <w:semiHidden/>
    <w:unhideWhenUsed/>
    <w:rsid w:val="009E0612"/>
    <w:rPr>
      <w:sz w:val="20"/>
      <w:szCs w:val="20"/>
    </w:rPr>
  </w:style>
  <w:style w:type="character" w:customStyle="1" w:styleId="CommentTextChar">
    <w:name w:val="Comment Text Char"/>
    <w:basedOn w:val="DefaultParagraphFont"/>
    <w:link w:val="CommentText"/>
    <w:uiPriority w:val="99"/>
    <w:semiHidden/>
    <w:rsid w:val="009E06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0612"/>
    <w:rPr>
      <w:b/>
      <w:bCs/>
    </w:rPr>
  </w:style>
  <w:style w:type="character" w:customStyle="1" w:styleId="CommentSubjectChar">
    <w:name w:val="Comment Subject Char"/>
    <w:basedOn w:val="CommentTextChar"/>
    <w:link w:val="CommentSubject"/>
    <w:uiPriority w:val="99"/>
    <w:semiHidden/>
    <w:rsid w:val="009E0612"/>
    <w:rPr>
      <w:rFonts w:ascii="Calibri" w:hAnsi="Calibri" w:cs="Calibri"/>
      <w:b/>
      <w:bCs/>
      <w:sz w:val="20"/>
      <w:szCs w:val="20"/>
    </w:rPr>
  </w:style>
  <w:style w:type="character" w:styleId="Hyperlink">
    <w:name w:val="Hyperlink"/>
    <w:basedOn w:val="DefaultParagraphFont"/>
    <w:uiPriority w:val="99"/>
    <w:semiHidden/>
    <w:unhideWhenUsed/>
    <w:rsid w:val="00B60D59"/>
    <w:rPr>
      <w:color w:val="0000FF"/>
      <w:u w:val="single"/>
    </w:rPr>
  </w:style>
  <w:style w:type="character" w:customStyle="1" w:styleId="apple-converted-space">
    <w:name w:val="apple-converted-space"/>
    <w:basedOn w:val="DefaultParagraphFont"/>
    <w:rsid w:val="00B60D59"/>
  </w:style>
  <w:style w:type="paragraph" w:styleId="Header">
    <w:name w:val="header"/>
    <w:basedOn w:val="Normal"/>
    <w:link w:val="HeaderChar"/>
    <w:uiPriority w:val="99"/>
    <w:unhideWhenUsed/>
    <w:rsid w:val="00EC7EB4"/>
    <w:pPr>
      <w:tabs>
        <w:tab w:val="center" w:pos="4680"/>
        <w:tab w:val="right" w:pos="9360"/>
      </w:tabs>
    </w:pPr>
  </w:style>
  <w:style w:type="character" w:customStyle="1" w:styleId="HeaderChar">
    <w:name w:val="Header Char"/>
    <w:basedOn w:val="DefaultParagraphFont"/>
    <w:link w:val="Header"/>
    <w:uiPriority w:val="99"/>
    <w:rsid w:val="00EC7EB4"/>
    <w:rPr>
      <w:rFonts w:ascii="Calibri" w:hAnsi="Calibri" w:cs="Calibri"/>
    </w:rPr>
  </w:style>
  <w:style w:type="paragraph" w:styleId="Footer">
    <w:name w:val="footer"/>
    <w:basedOn w:val="Normal"/>
    <w:link w:val="FooterChar"/>
    <w:uiPriority w:val="99"/>
    <w:unhideWhenUsed/>
    <w:rsid w:val="00EC7EB4"/>
    <w:pPr>
      <w:tabs>
        <w:tab w:val="center" w:pos="4680"/>
        <w:tab w:val="right" w:pos="9360"/>
      </w:tabs>
    </w:pPr>
  </w:style>
  <w:style w:type="character" w:customStyle="1" w:styleId="FooterChar">
    <w:name w:val="Footer Char"/>
    <w:basedOn w:val="DefaultParagraphFont"/>
    <w:link w:val="Footer"/>
    <w:uiPriority w:val="99"/>
    <w:rsid w:val="00EC7E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58789">
      <w:bodyDiv w:val="1"/>
      <w:marLeft w:val="0"/>
      <w:marRight w:val="0"/>
      <w:marTop w:val="0"/>
      <w:marBottom w:val="0"/>
      <w:divBdr>
        <w:top w:val="none" w:sz="0" w:space="0" w:color="auto"/>
        <w:left w:val="none" w:sz="0" w:space="0" w:color="auto"/>
        <w:bottom w:val="none" w:sz="0" w:space="0" w:color="auto"/>
        <w:right w:val="none" w:sz="0" w:space="0" w:color="auto"/>
      </w:divBdr>
      <w:divsChild>
        <w:div w:id="1135835799">
          <w:marLeft w:val="0"/>
          <w:marRight w:val="0"/>
          <w:marTop w:val="0"/>
          <w:marBottom w:val="0"/>
          <w:divBdr>
            <w:top w:val="none" w:sz="0" w:space="0" w:color="auto"/>
            <w:left w:val="none" w:sz="0" w:space="0" w:color="auto"/>
            <w:bottom w:val="none" w:sz="0" w:space="0" w:color="auto"/>
            <w:right w:val="none" w:sz="0" w:space="0" w:color="auto"/>
          </w:divBdr>
          <w:divsChild>
            <w:div w:id="1804618769">
              <w:marLeft w:val="0"/>
              <w:marRight w:val="0"/>
              <w:marTop w:val="0"/>
              <w:marBottom w:val="0"/>
              <w:divBdr>
                <w:top w:val="none" w:sz="0" w:space="0" w:color="auto"/>
                <w:left w:val="none" w:sz="0" w:space="0" w:color="auto"/>
                <w:bottom w:val="none" w:sz="0" w:space="0" w:color="auto"/>
                <w:right w:val="none" w:sz="0" w:space="0" w:color="auto"/>
              </w:divBdr>
              <w:divsChild>
                <w:div w:id="705258022">
                  <w:marLeft w:val="0"/>
                  <w:marRight w:val="0"/>
                  <w:marTop w:val="0"/>
                  <w:marBottom w:val="0"/>
                  <w:divBdr>
                    <w:top w:val="none" w:sz="0" w:space="0" w:color="auto"/>
                    <w:left w:val="none" w:sz="0" w:space="0" w:color="auto"/>
                    <w:bottom w:val="none" w:sz="0" w:space="0" w:color="auto"/>
                    <w:right w:val="none" w:sz="0" w:space="0" w:color="auto"/>
                  </w:divBdr>
                  <w:divsChild>
                    <w:div w:id="1494759213">
                      <w:marLeft w:val="0"/>
                      <w:marRight w:val="0"/>
                      <w:marTop w:val="0"/>
                      <w:marBottom w:val="0"/>
                      <w:divBdr>
                        <w:top w:val="none" w:sz="0" w:space="0" w:color="auto"/>
                        <w:left w:val="none" w:sz="0" w:space="0" w:color="auto"/>
                        <w:bottom w:val="none" w:sz="0" w:space="0" w:color="auto"/>
                        <w:right w:val="none" w:sz="0" w:space="0" w:color="auto"/>
                      </w:divBdr>
                      <w:divsChild>
                        <w:div w:id="1085876619">
                          <w:marLeft w:val="0"/>
                          <w:marRight w:val="0"/>
                          <w:marTop w:val="0"/>
                          <w:marBottom w:val="0"/>
                          <w:divBdr>
                            <w:top w:val="none" w:sz="0" w:space="0" w:color="auto"/>
                            <w:left w:val="none" w:sz="0" w:space="0" w:color="auto"/>
                            <w:bottom w:val="none" w:sz="0" w:space="0" w:color="auto"/>
                            <w:right w:val="none" w:sz="0" w:space="0" w:color="auto"/>
                          </w:divBdr>
                          <w:divsChild>
                            <w:div w:id="1330251031">
                              <w:marLeft w:val="0"/>
                              <w:marRight w:val="0"/>
                              <w:marTop w:val="0"/>
                              <w:marBottom w:val="0"/>
                              <w:divBdr>
                                <w:top w:val="none" w:sz="0" w:space="0" w:color="auto"/>
                                <w:left w:val="none" w:sz="0" w:space="0" w:color="auto"/>
                                <w:bottom w:val="none" w:sz="0" w:space="0" w:color="auto"/>
                                <w:right w:val="none" w:sz="0" w:space="0" w:color="auto"/>
                              </w:divBdr>
                              <w:divsChild>
                                <w:div w:id="210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5629">
      <w:bodyDiv w:val="1"/>
      <w:marLeft w:val="0"/>
      <w:marRight w:val="0"/>
      <w:marTop w:val="0"/>
      <w:marBottom w:val="0"/>
      <w:divBdr>
        <w:top w:val="none" w:sz="0" w:space="0" w:color="auto"/>
        <w:left w:val="none" w:sz="0" w:space="0" w:color="auto"/>
        <w:bottom w:val="none" w:sz="0" w:space="0" w:color="auto"/>
        <w:right w:val="none" w:sz="0" w:space="0" w:color="auto"/>
      </w:divBdr>
    </w:div>
    <w:div w:id="1299529579">
      <w:bodyDiv w:val="1"/>
      <w:marLeft w:val="0"/>
      <w:marRight w:val="0"/>
      <w:marTop w:val="0"/>
      <w:marBottom w:val="0"/>
      <w:divBdr>
        <w:top w:val="none" w:sz="0" w:space="0" w:color="auto"/>
        <w:left w:val="none" w:sz="0" w:space="0" w:color="auto"/>
        <w:bottom w:val="none" w:sz="0" w:space="0" w:color="auto"/>
        <w:right w:val="none" w:sz="0" w:space="0" w:color="auto"/>
      </w:divBdr>
    </w:div>
    <w:div w:id="1818062789">
      <w:bodyDiv w:val="1"/>
      <w:marLeft w:val="0"/>
      <w:marRight w:val="0"/>
      <w:marTop w:val="0"/>
      <w:marBottom w:val="0"/>
      <w:divBdr>
        <w:top w:val="none" w:sz="0" w:space="0" w:color="auto"/>
        <w:left w:val="none" w:sz="0" w:space="0" w:color="auto"/>
        <w:bottom w:val="none" w:sz="0" w:space="0" w:color="auto"/>
        <w:right w:val="none" w:sz="0" w:space="0" w:color="auto"/>
      </w:divBdr>
      <w:divsChild>
        <w:div w:id="2073044384">
          <w:marLeft w:val="0"/>
          <w:marRight w:val="0"/>
          <w:marTop w:val="0"/>
          <w:marBottom w:val="0"/>
          <w:divBdr>
            <w:top w:val="none" w:sz="0" w:space="0" w:color="auto"/>
            <w:left w:val="none" w:sz="0" w:space="0" w:color="auto"/>
            <w:bottom w:val="none" w:sz="0" w:space="0" w:color="auto"/>
            <w:right w:val="none" w:sz="0" w:space="0" w:color="auto"/>
          </w:divBdr>
          <w:divsChild>
            <w:div w:id="1918394408">
              <w:marLeft w:val="0"/>
              <w:marRight w:val="0"/>
              <w:marTop w:val="0"/>
              <w:marBottom w:val="0"/>
              <w:divBdr>
                <w:top w:val="none" w:sz="0" w:space="0" w:color="auto"/>
                <w:left w:val="none" w:sz="0" w:space="0" w:color="auto"/>
                <w:bottom w:val="none" w:sz="0" w:space="0" w:color="auto"/>
                <w:right w:val="none" w:sz="0" w:space="0" w:color="auto"/>
              </w:divBdr>
              <w:divsChild>
                <w:div w:id="29499140">
                  <w:marLeft w:val="0"/>
                  <w:marRight w:val="0"/>
                  <w:marTop w:val="0"/>
                  <w:marBottom w:val="0"/>
                  <w:divBdr>
                    <w:top w:val="none" w:sz="0" w:space="0" w:color="auto"/>
                    <w:left w:val="none" w:sz="0" w:space="0" w:color="auto"/>
                    <w:bottom w:val="none" w:sz="0" w:space="0" w:color="auto"/>
                    <w:right w:val="none" w:sz="0" w:space="0" w:color="auto"/>
                  </w:divBdr>
                  <w:divsChild>
                    <w:div w:id="382221861">
                      <w:marLeft w:val="0"/>
                      <w:marRight w:val="0"/>
                      <w:marTop w:val="0"/>
                      <w:marBottom w:val="0"/>
                      <w:divBdr>
                        <w:top w:val="none" w:sz="0" w:space="0" w:color="auto"/>
                        <w:left w:val="none" w:sz="0" w:space="0" w:color="auto"/>
                        <w:bottom w:val="none" w:sz="0" w:space="0" w:color="auto"/>
                        <w:right w:val="none" w:sz="0" w:space="0" w:color="auto"/>
                      </w:divBdr>
                      <w:divsChild>
                        <w:div w:id="1291981342">
                          <w:marLeft w:val="0"/>
                          <w:marRight w:val="0"/>
                          <w:marTop w:val="0"/>
                          <w:marBottom w:val="0"/>
                          <w:divBdr>
                            <w:top w:val="none" w:sz="0" w:space="0" w:color="auto"/>
                            <w:left w:val="none" w:sz="0" w:space="0" w:color="auto"/>
                            <w:bottom w:val="none" w:sz="0" w:space="0" w:color="auto"/>
                            <w:right w:val="none" w:sz="0" w:space="0" w:color="auto"/>
                          </w:divBdr>
                          <w:divsChild>
                            <w:div w:id="154914912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pmg.lu/" TargetMode="External"/><Relationship Id="rId13" Type="http://schemas.openxmlformats.org/officeDocument/2006/relationships/image" Target="media/image4.gif"/><Relationship Id="rId18" Type="http://schemas.openxmlformats.org/officeDocument/2006/relationships/hyperlink" Target="mailto:genevieve.feyt@kpmg.lu"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kpmg.lu/social-media-signature/blog.asp?utm_source=email&amp;utm_medium=email&amp;utm_content=blog_logo&amp;utm_campaign=Signature"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s://www.kpmg.lu/social-media-signature/youtube.asp?utm_source=email&amp;utm_medium=email&amp;utm_content=youtube_logo&amp;utm_campaign=Signatu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image" Target="media/image5.gif"/><Relationship Id="rId10" Type="http://schemas.openxmlformats.org/officeDocument/2006/relationships/hyperlink" Target="https://www.kpmg.lu/social-media-signature/linkedin.asp?utm_source=email&amp;utm_medium=email&amp;utm_content=linkedin_logo&amp;utm_campaign=Signatur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kpmg.lu/social-media-signature/twitter.asp?utm_source=email&amp;utm_medium=email&amp;utm_content=twitter_logo&amp;utm_campaign=Sig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sbrook</dc:creator>
  <cp:lastModifiedBy>sbrook</cp:lastModifiedBy>
  <cp:revision>8</cp:revision>
  <cp:lastPrinted>2014-02-05T17:03:00Z</cp:lastPrinted>
  <dcterms:created xsi:type="dcterms:W3CDTF">2014-02-10T11:32:00Z</dcterms:created>
  <dcterms:modified xsi:type="dcterms:W3CDTF">2014-02-10T13:48:00Z</dcterms:modified>
</cp:coreProperties>
</file>