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5C9" w:rsidRPr="001D1D46" w:rsidRDefault="00777DBE" w:rsidP="00E435C9">
      <w:pPr>
        <w:pStyle w:val="Heading1"/>
        <w:rPr>
          <w:lang w:val="de-DE"/>
        </w:rPr>
      </w:pPr>
      <w:r>
        <w:rPr>
          <w:noProof/>
          <w:lang w:eastAsia="en-US"/>
        </w:rPr>
        <w:drawing>
          <wp:inline distT="0" distB="0" distL="0" distR="0">
            <wp:extent cx="1352550" cy="733425"/>
            <wp:effectExtent l="19050" t="0" r="0" b="0"/>
            <wp:docPr id="6" name="Picture 6" descr="KPMG_Plus_Strapline_CMYK_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PMG_Plus_Strapline_CMYK_US"/>
                    <pic:cNvPicPr>
                      <a:picLocks noChangeAspect="1" noChangeArrowheads="1"/>
                    </pic:cNvPicPr>
                  </pic:nvPicPr>
                  <pic:blipFill>
                    <a:blip r:embed="rId8" cstate="print"/>
                    <a:srcRect/>
                    <a:stretch>
                      <a:fillRect/>
                    </a:stretch>
                  </pic:blipFill>
                  <pic:spPr bwMode="auto">
                    <a:xfrm>
                      <a:off x="0" y="0"/>
                      <a:ext cx="1352550" cy="733425"/>
                    </a:xfrm>
                    <a:prstGeom prst="rect">
                      <a:avLst/>
                    </a:prstGeom>
                    <a:noFill/>
                    <a:ln w="9525">
                      <a:noFill/>
                      <a:miter lim="800000"/>
                      <a:headEnd/>
                      <a:tailEnd/>
                    </a:ln>
                  </pic:spPr>
                </pic:pic>
              </a:graphicData>
            </a:graphic>
          </wp:inline>
        </w:drawing>
      </w:r>
      <w:r w:rsidR="007578F5">
        <w:rPr>
          <w:lang w:val="de-CH"/>
        </w:rPr>
        <w:br/>
      </w:r>
      <w:r w:rsidR="007578F5" w:rsidRPr="00F05BCF">
        <w:rPr>
          <w:sz w:val="24"/>
          <w:szCs w:val="24"/>
          <w:u w:val="single"/>
          <w:lang w:val="de-CH"/>
        </w:rPr>
        <w:t>Pressemitteilung KPMG – 10. Februar 2014</w:t>
      </w:r>
      <w:r w:rsidR="007578F5">
        <w:rPr>
          <w:sz w:val="24"/>
          <w:szCs w:val="24"/>
          <w:u w:val="single"/>
          <w:lang w:val="de-CH"/>
        </w:rPr>
        <w:br/>
      </w:r>
      <w:r w:rsidR="007578F5">
        <w:rPr>
          <w:lang w:val="de-DE"/>
        </w:rPr>
        <w:br/>
      </w:r>
      <w:r w:rsidR="00E435C9" w:rsidRPr="001D1D46">
        <w:rPr>
          <w:lang w:val="de-DE"/>
        </w:rPr>
        <w:t>Immer einen Schritt voraus, sagt KPMG</w:t>
      </w:r>
    </w:p>
    <w:p w:rsidR="00E435C9" w:rsidRPr="001D1D46" w:rsidRDefault="00E435C9" w:rsidP="00E435C9">
      <w:pPr>
        <w:rPr>
          <w:lang w:val="de-DE"/>
        </w:rPr>
      </w:pPr>
    </w:p>
    <w:p w:rsidR="00E435C9" w:rsidRPr="001D1D46" w:rsidRDefault="000B60C4" w:rsidP="00E435C9">
      <w:pPr>
        <w:rPr>
          <w:rFonts w:ascii="Arial" w:hAnsi="Arial" w:cs="Arial"/>
          <w:sz w:val="20"/>
          <w:szCs w:val="20"/>
          <w:lang w:val="de-DE"/>
        </w:rPr>
      </w:pPr>
      <w:r>
        <w:rPr>
          <w:rFonts w:ascii="Arial" w:hAnsi="Arial" w:cs="Arial"/>
          <w:b/>
          <w:sz w:val="20"/>
          <w:szCs w:val="20"/>
          <w:lang w:val="de-DE"/>
        </w:rPr>
        <w:t>Die</w:t>
      </w:r>
      <w:r w:rsidR="00C6432C">
        <w:rPr>
          <w:rFonts w:ascii="Arial" w:hAnsi="Arial" w:cs="Arial"/>
          <w:b/>
          <w:sz w:val="20"/>
          <w:szCs w:val="20"/>
          <w:lang w:val="de-DE"/>
        </w:rPr>
        <w:t xml:space="preserve"> G</w:t>
      </w:r>
      <w:r w:rsidR="00E435C9" w:rsidRPr="001D1D46">
        <w:rPr>
          <w:rFonts w:ascii="Arial" w:hAnsi="Arial" w:cs="Arial"/>
          <w:b/>
          <w:sz w:val="20"/>
          <w:szCs w:val="20"/>
          <w:lang w:val="de-DE"/>
        </w:rPr>
        <w:t>eschäftsführ</w:t>
      </w:r>
      <w:r w:rsidR="00C6432C">
        <w:rPr>
          <w:rFonts w:ascii="Arial" w:hAnsi="Arial" w:cs="Arial"/>
          <w:b/>
          <w:sz w:val="20"/>
          <w:szCs w:val="20"/>
          <w:lang w:val="de-DE"/>
        </w:rPr>
        <w:t>ung</w:t>
      </w:r>
      <w:r>
        <w:rPr>
          <w:rFonts w:ascii="Arial" w:hAnsi="Arial" w:cs="Arial"/>
          <w:b/>
          <w:sz w:val="20"/>
          <w:szCs w:val="20"/>
          <w:lang w:val="de-DE"/>
        </w:rPr>
        <w:t xml:space="preserve"> </w:t>
      </w:r>
      <w:r w:rsidR="00C6432C" w:rsidRPr="000B60C4">
        <w:rPr>
          <w:rFonts w:ascii="Arial" w:hAnsi="Arial" w:cs="Arial"/>
          <w:b/>
          <w:sz w:val="20"/>
          <w:szCs w:val="20"/>
          <w:lang w:val="de-DE"/>
        </w:rPr>
        <w:t xml:space="preserve">von </w:t>
      </w:r>
      <w:r w:rsidR="00E435C9" w:rsidRPr="000B60C4">
        <w:rPr>
          <w:rFonts w:ascii="Arial" w:hAnsi="Arial" w:cs="Arial"/>
          <w:b/>
          <w:sz w:val="20"/>
          <w:szCs w:val="20"/>
          <w:lang w:val="de-DE"/>
        </w:rPr>
        <w:t>KPMG Luxemb</w:t>
      </w:r>
      <w:r w:rsidR="00C6432C" w:rsidRPr="000B60C4">
        <w:rPr>
          <w:rFonts w:ascii="Arial" w:hAnsi="Arial" w:cs="Arial"/>
          <w:b/>
          <w:sz w:val="20"/>
          <w:szCs w:val="20"/>
          <w:lang w:val="de-DE"/>
        </w:rPr>
        <w:t>o</w:t>
      </w:r>
      <w:r w:rsidR="00E435C9" w:rsidRPr="000B60C4">
        <w:rPr>
          <w:rFonts w:ascii="Arial" w:hAnsi="Arial" w:cs="Arial"/>
          <w:b/>
          <w:sz w:val="20"/>
          <w:szCs w:val="20"/>
          <w:lang w:val="de-DE"/>
        </w:rPr>
        <w:t>urg</w:t>
      </w:r>
      <w:r w:rsidR="00E435C9" w:rsidRPr="001D1D46">
        <w:rPr>
          <w:rFonts w:ascii="Arial" w:hAnsi="Arial" w:cs="Arial"/>
          <w:sz w:val="20"/>
          <w:szCs w:val="20"/>
          <w:lang w:val="de-DE"/>
        </w:rPr>
        <w:t xml:space="preserve"> </w:t>
      </w:r>
      <w:r>
        <w:rPr>
          <w:rFonts w:ascii="Arial" w:hAnsi="Arial" w:cs="Arial"/>
          <w:sz w:val="20"/>
          <w:szCs w:val="20"/>
          <w:lang w:val="de-DE"/>
        </w:rPr>
        <w:t xml:space="preserve">berichtet über die </w:t>
      </w:r>
      <w:r w:rsidR="00E435C9" w:rsidRPr="001D1D46">
        <w:rPr>
          <w:rFonts w:ascii="Arial" w:hAnsi="Arial" w:cs="Arial"/>
          <w:sz w:val="20"/>
          <w:szCs w:val="20"/>
          <w:lang w:val="de-DE"/>
        </w:rPr>
        <w:t xml:space="preserve">im Jahr 2013 </w:t>
      </w:r>
      <w:r w:rsidR="00C6432C">
        <w:rPr>
          <w:rFonts w:ascii="Arial" w:hAnsi="Arial" w:cs="Arial"/>
          <w:sz w:val="20"/>
          <w:szCs w:val="20"/>
          <w:lang w:val="de-DE"/>
        </w:rPr>
        <w:t xml:space="preserve">vollzogene </w:t>
      </w:r>
      <w:r w:rsidR="00E435C9" w:rsidRPr="001D1D46">
        <w:rPr>
          <w:rFonts w:ascii="Arial" w:hAnsi="Arial" w:cs="Arial"/>
          <w:sz w:val="20"/>
          <w:szCs w:val="20"/>
          <w:lang w:val="de-DE"/>
        </w:rPr>
        <w:t>Transformation hin zu lang</w:t>
      </w:r>
      <w:r w:rsidR="00173CC7">
        <w:rPr>
          <w:rFonts w:ascii="Arial" w:hAnsi="Arial" w:cs="Arial"/>
          <w:sz w:val="20"/>
          <w:szCs w:val="20"/>
          <w:lang w:val="de-DE"/>
        </w:rPr>
        <w:t>f</w:t>
      </w:r>
      <w:r w:rsidR="00E435C9" w:rsidRPr="001D1D46">
        <w:rPr>
          <w:rFonts w:ascii="Arial" w:hAnsi="Arial" w:cs="Arial"/>
          <w:sz w:val="20"/>
          <w:szCs w:val="20"/>
          <w:lang w:val="de-DE"/>
        </w:rPr>
        <w:t xml:space="preserve">ristigem und nachhaltigem </w:t>
      </w:r>
      <w:r w:rsidR="00DE0995">
        <w:rPr>
          <w:rFonts w:ascii="Arial" w:hAnsi="Arial" w:cs="Arial"/>
          <w:sz w:val="20"/>
          <w:szCs w:val="20"/>
          <w:lang w:val="de-DE"/>
        </w:rPr>
        <w:t>Erfolg</w:t>
      </w:r>
      <w:r w:rsidR="00E435C9" w:rsidRPr="001D1D46">
        <w:rPr>
          <w:rFonts w:ascii="Arial" w:hAnsi="Arial" w:cs="Arial"/>
          <w:sz w:val="20"/>
          <w:szCs w:val="20"/>
          <w:lang w:val="de-DE"/>
        </w:rPr>
        <w:t>.</w:t>
      </w:r>
    </w:p>
    <w:p w:rsidR="00E435C9" w:rsidRPr="001D1D46" w:rsidRDefault="00E435C9" w:rsidP="00E435C9">
      <w:pPr>
        <w:rPr>
          <w:lang w:val="de-DE"/>
        </w:rPr>
      </w:pPr>
    </w:p>
    <w:p w:rsidR="00E435C9" w:rsidRPr="001D1D46" w:rsidRDefault="00E435C9" w:rsidP="00E435C9">
      <w:pPr>
        <w:pStyle w:val="Heading2"/>
        <w:rPr>
          <w:rFonts w:ascii="Arial" w:eastAsiaTheme="minorEastAsia" w:hAnsi="Arial" w:cs="Arial"/>
          <w:b/>
          <w:color w:val="auto"/>
          <w:sz w:val="20"/>
          <w:szCs w:val="20"/>
          <w:lang w:val="de-DE"/>
        </w:rPr>
      </w:pPr>
      <w:r w:rsidRPr="001D1D46">
        <w:rPr>
          <w:rFonts w:ascii="Arial" w:eastAsiaTheme="minorEastAsia" w:hAnsi="Arial" w:cs="Arial"/>
          <w:b/>
          <w:color w:val="auto"/>
          <w:sz w:val="20"/>
          <w:szCs w:val="20"/>
          <w:lang w:val="de-DE"/>
        </w:rPr>
        <w:t>Georges Bock, Managing Partner</w:t>
      </w:r>
    </w:p>
    <w:p w:rsidR="00E435C9" w:rsidRPr="001D1D46" w:rsidRDefault="001D1D46" w:rsidP="00E435C9">
      <w:pPr>
        <w:rPr>
          <w:rFonts w:ascii="Arial" w:hAnsi="Arial" w:cs="Arial"/>
          <w:sz w:val="20"/>
          <w:szCs w:val="20"/>
          <w:lang w:val="de-DE"/>
        </w:rPr>
      </w:pPr>
      <w:r>
        <w:rPr>
          <w:rFonts w:ascii="Arial" w:hAnsi="Arial" w:cs="Arial"/>
          <w:sz w:val="20"/>
          <w:szCs w:val="20"/>
          <w:lang w:val="de-DE"/>
        </w:rPr>
        <w:t>„</w:t>
      </w:r>
      <w:r w:rsidR="00E435C9" w:rsidRPr="001D1D46">
        <w:rPr>
          <w:rFonts w:ascii="Arial" w:hAnsi="Arial" w:cs="Arial"/>
          <w:sz w:val="20"/>
          <w:szCs w:val="20"/>
          <w:lang w:val="de-DE"/>
        </w:rPr>
        <w:t>Die nächs</w:t>
      </w:r>
      <w:r w:rsidR="000B60C4">
        <w:rPr>
          <w:rFonts w:ascii="Arial" w:hAnsi="Arial" w:cs="Arial"/>
          <w:sz w:val="20"/>
          <w:szCs w:val="20"/>
          <w:lang w:val="de-DE"/>
        </w:rPr>
        <w:t>ten großen Trends vorherzusehen</w:t>
      </w:r>
      <w:r w:rsidR="00E435C9" w:rsidRPr="001D1D46">
        <w:rPr>
          <w:rFonts w:ascii="Arial" w:hAnsi="Arial" w:cs="Arial"/>
          <w:sz w:val="20"/>
          <w:szCs w:val="20"/>
          <w:lang w:val="de-DE"/>
        </w:rPr>
        <w:t xml:space="preserve"> ist heutzutage genauso entscheidend wie betriebliche Spitzenleistungen zu erbringen. Firmen mit einem scharfen Blick für zukünftige Entwicklungen übertreffen stetig die Konkurrenz – und wir möchten unsere Kunden dabei unterstützen, ein</w:t>
      </w:r>
      <w:r w:rsidR="00487807" w:rsidRPr="001D1D46">
        <w:rPr>
          <w:rFonts w:ascii="Arial" w:hAnsi="Arial" w:cs="Arial"/>
          <w:sz w:val="20"/>
          <w:szCs w:val="20"/>
          <w:lang w:val="de-DE"/>
        </w:rPr>
        <w:t xml:space="preserve"> solch zuk</w:t>
      </w:r>
      <w:r w:rsidR="00E435C9" w:rsidRPr="001D1D46">
        <w:rPr>
          <w:rFonts w:ascii="Arial" w:hAnsi="Arial" w:cs="Arial"/>
          <w:sz w:val="20"/>
          <w:szCs w:val="20"/>
          <w:lang w:val="de-DE"/>
        </w:rPr>
        <w:t xml:space="preserve">unftsorientiertes Unternehmen zu </w:t>
      </w:r>
      <w:r w:rsidR="00644D8E">
        <w:rPr>
          <w:rFonts w:ascii="Arial" w:hAnsi="Arial" w:cs="Arial"/>
          <w:sz w:val="20"/>
          <w:szCs w:val="20"/>
          <w:lang w:val="de-DE"/>
        </w:rPr>
        <w:t>sein</w:t>
      </w:r>
      <w:r w:rsidR="00E435C9" w:rsidRPr="001D1D46">
        <w:rPr>
          <w:rFonts w:ascii="Arial" w:hAnsi="Arial" w:cs="Arial"/>
          <w:sz w:val="20"/>
          <w:szCs w:val="20"/>
          <w:lang w:val="de-DE"/>
        </w:rPr>
        <w:t xml:space="preserve">. </w:t>
      </w:r>
    </w:p>
    <w:p w:rsidR="00E435C9" w:rsidRPr="001D1D46" w:rsidRDefault="00E435C9" w:rsidP="00E435C9">
      <w:pPr>
        <w:rPr>
          <w:rFonts w:ascii="Arial" w:hAnsi="Arial" w:cs="Arial"/>
          <w:sz w:val="20"/>
          <w:szCs w:val="20"/>
          <w:lang w:val="de-DE"/>
        </w:rPr>
      </w:pPr>
      <w:r w:rsidRPr="001D1D46">
        <w:rPr>
          <w:rFonts w:ascii="Arial" w:hAnsi="Arial" w:cs="Arial"/>
          <w:sz w:val="20"/>
          <w:szCs w:val="20"/>
          <w:lang w:val="de-DE"/>
        </w:rPr>
        <w:t>Um dies zu tun, haben wir die wichtigsten Trends identifiziert, die einen übergreifenden</w:t>
      </w:r>
      <w:r w:rsidR="0004530D" w:rsidRPr="001D1D46">
        <w:rPr>
          <w:rFonts w:ascii="Arial" w:hAnsi="Arial" w:cs="Arial"/>
          <w:sz w:val="20"/>
          <w:szCs w:val="20"/>
          <w:lang w:val="de-DE"/>
        </w:rPr>
        <w:t xml:space="preserve"> Effekt auf Luxemburg und seine verschiedensten </w:t>
      </w:r>
      <w:r w:rsidR="00571795">
        <w:rPr>
          <w:rFonts w:ascii="Arial" w:hAnsi="Arial" w:cs="Arial"/>
          <w:sz w:val="20"/>
          <w:szCs w:val="20"/>
          <w:lang w:val="de-DE"/>
        </w:rPr>
        <w:t>wirtschaftlichen</w:t>
      </w:r>
      <w:r w:rsidR="0004530D" w:rsidRPr="001D1D46">
        <w:rPr>
          <w:rFonts w:ascii="Arial" w:hAnsi="Arial" w:cs="Arial"/>
          <w:sz w:val="20"/>
          <w:szCs w:val="20"/>
          <w:lang w:val="de-DE"/>
        </w:rPr>
        <w:t xml:space="preserve"> Sektoren haben werden. </w:t>
      </w:r>
      <w:r w:rsidR="00571795">
        <w:rPr>
          <w:rFonts w:ascii="Arial" w:hAnsi="Arial" w:cs="Arial"/>
          <w:sz w:val="20"/>
          <w:szCs w:val="20"/>
          <w:lang w:val="de-DE"/>
        </w:rPr>
        <w:t>Wirtschaftliche</w:t>
      </w:r>
      <w:r w:rsidR="000B60C4">
        <w:rPr>
          <w:rFonts w:ascii="Arial" w:hAnsi="Arial" w:cs="Arial"/>
          <w:sz w:val="20"/>
          <w:szCs w:val="20"/>
          <w:lang w:val="de-DE"/>
        </w:rPr>
        <w:t xml:space="preserve"> Vernetzung, u</w:t>
      </w:r>
      <w:r w:rsidR="0004530D" w:rsidRPr="001D1D46">
        <w:rPr>
          <w:rFonts w:ascii="Arial" w:hAnsi="Arial" w:cs="Arial"/>
          <w:sz w:val="20"/>
          <w:szCs w:val="20"/>
          <w:lang w:val="de-DE"/>
        </w:rPr>
        <w:t xml:space="preserve">nterstützende Technologien und die Verlagerung von </w:t>
      </w:r>
      <w:r w:rsidR="000B60C4">
        <w:rPr>
          <w:rFonts w:ascii="Arial" w:hAnsi="Arial" w:cs="Arial"/>
          <w:sz w:val="20"/>
          <w:szCs w:val="20"/>
          <w:lang w:val="de-DE"/>
        </w:rPr>
        <w:t>ö</w:t>
      </w:r>
      <w:r w:rsidR="0004530D" w:rsidRPr="001D1D46">
        <w:rPr>
          <w:rFonts w:ascii="Arial" w:hAnsi="Arial" w:cs="Arial"/>
          <w:sz w:val="20"/>
          <w:szCs w:val="20"/>
          <w:lang w:val="de-DE"/>
        </w:rPr>
        <w:t>kono</w:t>
      </w:r>
      <w:r w:rsidR="00737AB8">
        <w:rPr>
          <w:rFonts w:ascii="Arial" w:hAnsi="Arial" w:cs="Arial"/>
          <w:sz w:val="20"/>
          <w:szCs w:val="20"/>
          <w:lang w:val="de-DE"/>
        </w:rPr>
        <w:t>mischer Macht wurden als größte</w:t>
      </w:r>
      <w:r w:rsidR="000B60C4">
        <w:rPr>
          <w:rFonts w:ascii="Arial" w:hAnsi="Arial" w:cs="Arial"/>
          <w:sz w:val="20"/>
          <w:szCs w:val="20"/>
          <w:lang w:val="de-DE"/>
        </w:rPr>
        <w:t>n</w:t>
      </w:r>
      <w:r w:rsidR="0004530D" w:rsidRPr="001D1D46">
        <w:rPr>
          <w:rFonts w:ascii="Arial" w:hAnsi="Arial" w:cs="Arial"/>
          <w:sz w:val="20"/>
          <w:szCs w:val="20"/>
          <w:lang w:val="de-DE"/>
        </w:rPr>
        <w:t xml:space="preserve"> Antrieb</w:t>
      </w:r>
      <w:r w:rsidR="000B60C4">
        <w:rPr>
          <w:rFonts w:ascii="Arial" w:hAnsi="Arial" w:cs="Arial"/>
          <w:sz w:val="20"/>
          <w:szCs w:val="20"/>
          <w:lang w:val="de-DE"/>
        </w:rPr>
        <w:t>skräft</w:t>
      </w:r>
      <w:r w:rsidR="00737AB8">
        <w:rPr>
          <w:rFonts w:ascii="Arial" w:hAnsi="Arial" w:cs="Arial"/>
          <w:sz w:val="20"/>
          <w:szCs w:val="20"/>
          <w:lang w:val="de-DE"/>
        </w:rPr>
        <w:t>e</w:t>
      </w:r>
      <w:r w:rsidR="0004530D" w:rsidRPr="001D1D46">
        <w:rPr>
          <w:rFonts w:ascii="Arial" w:hAnsi="Arial" w:cs="Arial"/>
          <w:sz w:val="20"/>
          <w:szCs w:val="20"/>
          <w:lang w:val="de-DE"/>
        </w:rPr>
        <w:t xml:space="preserve"> </w:t>
      </w:r>
      <w:r w:rsidR="00946867" w:rsidRPr="001D1D46">
        <w:rPr>
          <w:rFonts w:ascii="Arial" w:hAnsi="Arial" w:cs="Arial"/>
          <w:sz w:val="20"/>
          <w:szCs w:val="20"/>
          <w:lang w:val="de-DE"/>
        </w:rPr>
        <w:t xml:space="preserve">ausgemacht, </w:t>
      </w:r>
      <w:r w:rsidR="00737AB8">
        <w:rPr>
          <w:rFonts w:ascii="Arial" w:hAnsi="Arial" w:cs="Arial"/>
          <w:sz w:val="20"/>
          <w:szCs w:val="20"/>
          <w:lang w:val="de-DE"/>
        </w:rPr>
        <w:t>die</w:t>
      </w:r>
      <w:r w:rsidR="00946867" w:rsidRPr="001D1D46">
        <w:rPr>
          <w:rFonts w:ascii="Arial" w:hAnsi="Arial" w:cs="Arial"/>
          <w:sz w:val="20"/>
          <w:szCs w:val="20"/>
          <w:lang w:val="de-DE"/>
        </w:rPr>
        <w:t xml:space="preserve"> Luxemburg und den Finanzsektor in den ko</w:t>
      </w:r>
      <w:r w:rsidR="00737AB8">
        <w:rPr>
          <w:rFonts w:ascii="Arial" w:hAnsi="Arial" w:cs="Arial"/>
          <w:sz w:val="20"/>
          <w:szCs w:val="20"/>
          <w:lang w:val="de-DE"/>
        </w:rPr>
        <w:t>mmenden Jahren beeinflussen werden</w:t>
      </w:r>
      <w:r w:rsidR="00946867" w:rsidRPr="001D1D46">
        <w:rPr>
          <w:rFonts w:ascii="Arial" w:hAnsi="Arial" w:cs="Arial"/>
          <w:sz w:val="20"/>
          <w:szCs w:val="20"/>
          <w:lang w:val="de-DE"/>
        </w:rPr>
        <w:t>. Die Agilität, mit der unsere Kunden schon jetzt auf diese Entwicklungen reagieren, wird ihre Zukunft auf lange Sicht gestalten.</w:t>
      </w:r>
    </w:p>
    <w:p w:rsidR="00E435C9" w:rsidRPr="001D1D46" w:rsidRDefault="00946867" w:rsidP="00E435C9">
      <w:pPr>
        <w:rPr>
          <w:rFonts w:ascii="Arial" w:hAnsi="Arial" w:cs="Arial"/>
          <w:sz w:val="20"/>
          <w:szCs w:val="20"/>
          <w:lang w:val="de-DE"/>
        </w:rPr>
      </w:pPr>
      <w:r w:rsidRPr="001D1D46">
        <w:rPr>
          <w:rFonts w:ascii="Arial" w:hAnsi="Arial" w:cs="Arial"/>
          <w:sz w:val="20"/>
          <w:szCs w:val="20"/>
          <w:lang w:val="de-DE"/>
        </w:rPr>
        <w:t xml:space="preserve">KPMG sieht für Luxemburg die Chance, sich </w:t>
      </w:r>
      <w:r w:rsidR="001B0987">
        <w:rPr>
          <w:rFonts w:ascii="Arial" w:hAnsi="Arial" w:cs="Arial"/>
          <w:sz w:val="20"/>
          <w:szCs w:val="20"/>
          <w:lang w:val="de-DE"/>
        </w:rPr>
        <w:t xml:space="preserve">von Beginn an bei diesem Rennen </w:t>
      </w:r>
      <w:r w:rsidR="001B0987" w:rsidRPr="001D1D46">
        <w:rPr>
          <w:rFonts w:ascii="Arial" w:hAnsi="Arial" w:cs="Arial"/>
          <w:sz w:val="20"/>
          <w:szCs w:val="20"/>
          <w:lang w:val="de-DE"/>
        </w:rPr>
        <w:t>an der Spitze</w:t>
      </w:r>
      <w:r w:rsidRPr="001D1D46">
        <w:rPr>
          <w:rFonts w:ascii="Arial" w:hAnsi="Arial" w:cs="Arial"/>
          <w:sz w:val="20"/>
          <w:szCs w:val="20"/>
          <w:lang w:val="de-DE"/>
        </w:rPr>
        <w:t xml:space="preserve"> zu positionieren. Diese Überzeugung, basierend auf e</w:t>
      </w:r>
      <w:r w:rsidR="00737AB8">
        <w:rPr>
          <w:rFonts w:ascii="Arial" w:hAnsi="Arial" w:cs="Arial"/>
          <w:sz w:val="20"/>
          <w:szCs w:val="20"/>
          <w:lang w:val="de-DE"/>
        </w:rPr>
        <w:t>iner eingehenden Analyse, führt</w:t>
      </w:r>
      <w:r w:rsidRPr="001D1D46">
        <w:rPr>
          <w:rFonts w:ascii="Arial" w:hAnsi="Arial" w:cs="Arial"/>
          <w:sz w:val="20"/>
          <w:szCs w:val="20"/>
          <w:lang w:val="de-DE"/>
        </w:rPr>
        <w:t xml:space="preserve"> zu grundlegende</w:t>
      </w:r>
      <w:r w:rsidR="00487807" w:rsidRPr="001D1D46">
        <w:rPr>
          <w:rFonts w:ascii="Arial" w:hAnsi="Arial" w:cs="Arial"/>
          <w:sz w:val="20"/>
          <w:szCs w:val="20"/>
          <w:lang w:val="de-DE"/>
        </w:rPr>
        <w:t>n</w:t>
      </w:r>
      <w:r w:rsidRPr="001D1D46">
        <w:rPr>
          <w:rFonts w:ascii="Arial" w:hAnsi="Arial" w:cs="Arial"/>
          <w:sz w:val="20"/>
          <w:szCs w:val="20"/>
          <w:lang w:val="de-DE"/>
        </w:rPr>
        <w:t xml:space="preserve"> Innovation</w:t>
      </w:r>
      <w:r w:rsidR="00487807" w:rsidRPr="001D1D46">
        <w:rPr>
          <w:rFonts w:ascii="Arial" w:hAnsi="Arial" w:cs="Arial"/>
          <w:sz w:val="20"/>
          <w:szCs w:val="20"/>
          <w:lang w:val="de-DE"/>
        </w:rPr>
        <w:t xml:space="preserve">en </w:t>
      </w:r>
      <w:r w:rsidRPr="001D1D46">
        <w:rPr>
          <w:rFonts w:ascii="Arial" w:hAnsi="Arial" w:cs="Arial"/>
          <w:sz w:val="20"/>
          <w:szCs w:val="20"/>
          <w:lang w:val="de-DE"/>
        </w:rPr>
        <w:t xml:space="preserve">unserer Dienstleistungen, indem wir immer neue Wege finden, qualitativ hochwertige Leistungen für unsere Kunden zu erbringen. Wir haben neue Konzepte und Ideen umgesetzt, um sowohl aktuelle </w:t>
      </w:r>
      <w:r w:rsidR="001B0987">
        <w:rPr>
          <w:rFonts w:ascii="Arial" w:hAnsi="Arial" w:cs="Arial"/>
          <w:sz w:val="20"/>
          <w:szCs w:val="20"/>
          <w:lang w:val="de-DE"/>
        </w:rPr>
        <w:t xml:space="preserve">Wünsche </w:t>
      </w:r>
      <w:r w:rsidRPr="001D1D46">
        <w:rPr>
          <w:rFonts w:ascii="Arial" w:hAnsi="Arial" w:cs="Arial"/>
          <w:sz w:val="20"/>
          <w:szCs w:val="20"/>
          <w:lang w:val="de-DE"/>
        </w:rPr>
        <w:t xml:space="preserve">als auch </w:t>
      </w:r>
      <w:r w:rsidR="001B0987">
        <w:rPr>
          <w:rFonts w:ascii="Arial" w:hAnsi="Arial" w:cs="Arial"/>
          <w:sz w:val="20"/>
          <w:szCs w:val="20"/>
          <w:lang w:val="de-DE"/>
        </w:rPr>
        <w:t xml:space="preserve">die </w:t>
      </w:r>
      <w:r w:rsidRPr="001D1D46">
        <w:rPr>
          <w:rFonts w:ascii="Arial" w:hAnsi="Arial" w:cs="Arial"/>
          <w:sz w:val="20"/>
          <w:szCs w:val="20"/>
          <w:lang w:val="de-DE"/>
        </w:rPr>
        <w:t xml:space="preserve">Erwartungen unserer Kunden </w:t>
      </w:r>
      <w:r w:rsidR="001B0987">
        <w:rPr>
          <w:rFonts w:ascii="Arial" w:hAnsi="Arial" w:cs="Arial"/>
          <w:sz w:val="20"/>
          <w:szCs w:val="20"/>
          <w:lang w:val="de-DE"/>
        </w:rPr>
        <w:t xml:space="preserve">in Zukunft </w:t>
      </w:r>
      <w:r w:rsidRPr="001D1D46">
        <w:rPr>
          <w:rFonts w:ascii="Arial" w:hAnsi="Arial" w:cs="Arial"/>
          <w:sz w:val="20"/>
          <w:szCs w:val="20"/>
          <w:lang w:val="de-DE"/>
        </w:rPr>
        <w:t>zu erfüllen.”</w:t>
      </w:r>
    </w:p>
    <w:p w:rsidR="00946867" w:rsidRPr="001D1D46" w:rsidRDefault="00946867" w:rsidP="00E435C9">
      <w:pPr>
        <w:rPr>
          <w:rFonts w:ascii="Arial" w:hAnsi="Arial" w:cs="Arial"/>
          <w:sz w:val="20"/>
          <w:szCs w:val="20"/>
          <w:lang w:val="de-DE"/>
        </w:rPr>
      </w:pPr>
    </w:p>
    <w:p w:rsidR="00E435C9" w:rsidRPr="00E21EE0" w:rsidRDefault="00E435C9" w:rsidP="00E435C9">
      <w:pPr>
        <w:pStyle w:val="Heading2"/>
      </w:pPr>
      <w:r w:rsidRPr="00E21EE0">
        <w:t xml:space="preserve">Megatrend 1: </w:t>
      </w:r>
      <w:proofErr w:type="spellStart"/>
      <w:r w:rsidR="00571795">
        <w:t>Wirtschaftliche</w:t>
      </w:r>
      <w:proofErr w:type="spellEnd"/>
      <w:r w:rsidR="00305C36" w:rsidRPr="00E21EE0">
        <w:t xml:space="preserve"> </w:t>
      </w:r>
      <w:proofErr w:type="spellStart"/>
      <w:r w:rsidR="00305C36" w:rsidRPr="00E21EE0">
        <w:t>Vernetzung</w:t>
      </w:r>
      <w:proofErr w:type="spellEnd"/>
    </w:p>
    <w:p w:rsidR="00E435C9" w:rsidRPr="00E21EE0" w:rsidRDefault="00E435C9" w:rsidP="00E435C9">
      <w:pPr>
        <w:pStyle w:val="Heading2"/>
        <w:rPr>
          <w:rFonts w:ascii="Arial" w:eastAsiaTheme="minorEastAsia" w:hAnsi="Arial" w:cs="Arial"/>
          <w:b/>
          <w:color w:val="auto"/>
          <w:sz w:val="20"/>
          <w:szCs w:val="20"/>
        </w:rPr>
      </w:pPr>
      <w:r w:rsidRPr="00E21EE0">
        <w:rPr>
          <w:rFonts w:ascii="Arial" w:eastAsiaTheme="minorEastAsia" w:hAnsi="Arial" w:cs="Arial"/>
          <w:b/>
          <w:color w:val="auto"/>
          <w:sz w:val="20"/>
          <w:szCs w:val="20"/>
        </w:rPr>
        <w:t>Alain Picquet, Head of Advisory</w:t>
      </w:r>
    </w:p>
    <w:p w:rsidR="00E435C9" w:rsidRPr="001D1D46" w:rsidRDefault="001D1D46" w:rsidP="00E435C9">
      <w:pPr>
        <w:rPr>
          <w:rFonts w:ascii="Arial" w:hAnsi="Arial" w:cs="Arial"/>
          <w:sz w:val="20"/>
          <w:szCs w:val="20"/>
          <w:lang w:val="de-DE"/>
        </w:rPr>
      </w:pPr>
      <w:r>
        <w:rPr>
          <w:rFonts w:ascii="Arial" w:hAnsi="Arial" w:cs="Arial"/>
          <w:sz w:val="20"/>
          <w:szCs w:val="20"/>
          <w:lang w:val="de-DE"/>
        </w:rPr>
        <w:t>„</w:t>
      </w:r>
      <w:r w:rsidR="00305C36" w:rsidRPr="001D1D46">
        <w:rPr>
          <w:rFonts w:ascii="Arial" w:hAnsi="Arial" w:cs="Arial"/>
          <w:sz w:val="20"/>
          <w:szCs w:val="20"/>
          <w:lang w:val="de-DE"/>
        </w:rPr>
        <w:t xml:space="preserve">Mit einer der globalisiertesten </w:t>
      </w:r>
      <w:r w:rsidR="001B0987">
        <w:rPr>
          <w:rFonts w:ascii="Arial" w:hAnsi="Arial" w:cs="Arial"/>
          <w:sz w:val="20"/>
          <w:szCs w:val="20"/>
          <w:lang w:val="de-DE"/>
        </w:rPr>
        <w:t>Wirtschaft</w:t>
      </w:r>
      <w:r w:rsidR="00305C36" w:rsidRPr="001D1D46">
        <w:rPr>
          <w:rFonts w:ascii="Arial" w:hAnsi="Arial" w:cs="Arial"/>
          <w:sz w:val="20"/>
          <w:szCs w:val="20"/>
          <w:lang w:val="de-DE"/>
        </w:rPr>
        <w:t xml:space="preserve"> auf diesem Planeten ist </w:t>
      </w:r>
      <w:r w:rsidR="001B0987">
        <w:rPr>
          <w:rFonts w:ascii="Arial" w:hAnsi="Arial" w:cs="Arial"/>
          <w:sz w:val="20"/>
          <w:szCs w:val="20"/>
          <w:lang w:val="de-DE"/>
        </w:rPr>
        <w:t xml:space="preserve">das Land </w:t>
      </w:r>
      <w:r w:rsidR="00305C36" w:rsidRPr="001D1D46">
        <w:rPr>
          <w:rFonts w:ascii="Arial" w:hAnsi="Arial" w:cs="Arial"/>
          <w:sz w:val="20"/>
          <w:szCs w:val="20"/>
          <w:lang w:val="de-DE"/>
        </w:rPr>
        <w:t>Luxemburg ein Vorreiter</w:t>
      </w:r>
      <w:r w:rsidR="00725968" w:rsidRPr="001D1D46">
        <w:rPr>
          <w:rFonts w:ascii="Arial" w:hAnsi="Arial" w:cs="Arial"/>
          <w:sz w:val="20"/>
          <w:szCs w:val="20"/>
          <w:lang w:val="de-DE"/>
        </w:rPr>
        <w:t xml:space="preserve"> der Vernetzung. </w:t>
      </w:r>
      <w:r w:rsidR="001B0987">
        <w:rPr>
          <w:rFonts w:ascii="Arial" w:hAnsi="Arial" w:cs="Arial"/>
          <w:sz w:val="20"/>
          <w:szCs w:val="20"/>
          <w:lang w:val="de-DE"/>
        </w:rPr>
        <w:t>Zunehmende</w:t>
      </w:r>
      <w:r w:rsidR="00725968" w:rsidRPr="001D1D46">
        <w:rPr>
          <w:rFonts w:ascii="Arial" w:hAnsi="Arial" w:cs="Arial"/>
          <w:sz w:val="20"/>
          <w:szCs w:val="20"/>
          <w:lang w:val="de-DE"/>
        </w:rPr>
        <w:t xml:space="preserve"> Verflechtung bringt maßgebliches Wachstumspotenzial und Kollaboration mit sich, welche wir schon seit geraumer Zeit mit unseren Kunden nutzen. Die Kehrseite der Medaille ist jedoch das Risiko von </w:t>
      </w:r>
      <w:r w:rsidR="00571795">
        <w:rPr>
          <w:rFonts w:ascii="Arial" w:hAnsi="Arial" w:cs="Arial"/>
          <w:sz w:val="20"/>
          <w:szCs w:val="20"/>
          <w:lang w:val="de-DE"/>
        </w:rPr>
        <w:t>negativen</w:t>
      </w:r>
      <w:r w:rsidR="00725968" w:rsidRPr="001D1D46">
        <w:rPr>
          <w:rFonts w:ascii="Arial" w:hAnsi="Arial" w:cs="Arial"/>
          <w:sz w:val="20"/>
          <w:szCs w:val="20"/>
          <w:lang w:val="de-DE"/>
        </w:rPr>
        <w:t xml:space="preserve"> Einflüssen, die mit neuen und komplexen Handels- und Investitionsbeziehungen einhergehen. Die andauernde Lawine von Regulierungen wird </w:t>
      </w:r>
      <w:r w:rsidR="001B0987">
        <w:rPr>
          <w:rFonts w:ascii="Arial" w:hAnsi="Arial" w:cs="Arial"/>
          <w:sz w:val="20"/>
          <w:szCs w:val="20"/>
          <w:lang w:val="de-DE"/>
        </w:rPr>
        <w:t>sich fortsetzen</w:t>
      </w:r>
      <w:r w:rsidR="00487807" w:rsidRPr="001D1D46">
        <w:rPr>
          <w:rFonts w:ascii="Arial" w:hAnsi="Arial" w:cs="Arial"/>
          <w:sz w:val="20"/>
          <w:szCs w:val="20"/>
          <w:lang w:val="de-DE"/>
        </w:rPr>
        <w:t xml:space="preserve">, da Regierungen versuchen, </w:t>
      </w:r>
      <w:r w:rsidR="00725968" w:rsidRPr="001D1D46">
        <w:rPr>
          <w:rFonts w:ascii="Arial" w:hAnsi="Arial" w:cs="Arial"/>
          <w:sz w:val="20"/>
          <w:szCs w:val="20"/>
          <w:lang w:val="de-DE"/>
        </w:rPr>
        <w:t>Risik</w:t>
      </w:r>
      <w:r w:rsidR="001B0987">
        <w:rPr>
          <w:rFonts w:ascii="Arial" w:hAnsi="Arial" w:cs="Arial"/>
          <w:sz w:val="20"/>
          <w:szCs w:val="20"/>
          <w:lang w:val="de-DE"/>
        </w:rPr>
        <w:t xml:space="preserve">en </w:t>
      </w:r>
      <w:r w:rsidR="00725968" w:rsidRPr="001D1D46">
        <w:rPr>
          <w:rFonts w:ascii="Arial" w:hAnsi="Arial" w:cs="Arial"/>
          <w:sz w:val="20"/>
          <w:szCs w:val="20"/>
          <w:lang w:val="de-DE"/>
        </w:rPr>
        <w:t>zu</w:t>
      </w:r>
      <w:r w:rsidR="001B0987">
        <w:rPr>
          <w:rFonts w:ascii="Arial" w:hAnsi="Arial" w:cs="Arial"/>
          <w:sz w:val="20"/>
          <w:szCs w:val="20"/>
          <w:lang w:val="de-DE"/>
        </w:rPr>
        <w:t xml:space="preserve"> vermindern</w:t>
      </w:r>
      <w:r w:rsidR="00725968" w:rsidRPr="001D1D46">
        <w:rPr>
          <w:rFonts w:ascii="Arial" w:hAnsi="Arial" w:cs="Arial"/>
          <w:sz w:val="20"/>
          <w:szCs w:val="20"/>
          <w:lang w:val="de-DE"/>
        </w:rPr>
        <w:t xml:space="preserve">. KPMG hilft seinen Kunden, sich diesem Megatrend </w:t>
      </w:r>
      <w:r w:rsidR="00487807" w:rsidRPr="001D1D46">
        <w:rPr>
          <w:rFonts w:ascii="Arial" w:hAnsi="Arial" w:cs="Arial"/>
          <w:sz w:val="20"/>
          <w:szCs w:val="20"/>
          <w:lang w:val="de-DE"/>
        </w:rPr>
        <w:t xml:space="preserve">anzupassen, </w:t>
      </w:r>
      <w:r w:rsidR="00725968" w:rsidRPr="001D1D46">
        <w:rPr>
          <w:rFonts w:ascii="Arial" w:hAnsi="Arial" w:cs="Arial"/>
          <w:sz w:val="20"/>
          <w:szCs w:val="20"/>
          <w:lang w:val="de-DE"/>
        </w:rPr>
        <w:t xml:space="preserve">indem wir ganzheitliche Dienste anbieten, um ihnen diese Last abzunehmen. </w:t>
      </w:r>
      <w:r w:rsidR="000A2A48" w:rsidRPr="001D1D46">
        <w:rPr>
          <w:rFonts w:ascii="Arial" w:hAnsi="Arial" w:cs="Arial"/>
          <w:sz w:val="20"/>
          <w:szCs w:val="20"/>
          <w:lang w:val="de-DE"/>
        </w:rPr>
        <w:t>Unser “</w:t>
      </w:r>
      <w:r w:rsidR="00487807" w:rsidRPr="001D1D46">
        <w:rPr>
          <w:rFonts w:ascii="Arial" w:hAnsi="Arial" w:cs="Arial"/>
          <w:sz w:val="20"/>
          <w:szCs w:val="20"/>
          <w:lang w:val="de-DE"/>
        </w:rPr>
        <w:t>KPMG</w:t>
      </w:r>
      <w:r w:rsidR="000A2A48" w:rsidRPr="001D1D46">
        <w:rPr>
          <w:rFonts w:ascii="Arial" w:hAnsi="Arial" w:cs="Arial"/>
          <w:sz w:val="20"/>
          <w:szCs w:val="20"/>
          <w:lang w:val="de-DE"/>
        </w:rPr>
        <w:t xml:space="preserve"> Racer” zum Beispiel </w:t>
      </w:r>
      <w:r w:rsidR="00487807" w:rsidRPr="001D1D46">
        <w:rPr>
          <w:rFonts w:ascii="Arial" w:hAnsi="Arial" w:cs="Arial"/>
          <w:sz w:val="20"/>
          <w:szCs w:val="20"/>
          <w:lang w:val="de-DE"/>
        </w:rPr>
        <w:t>ist e</w:t>
      </w:r>
      <w:r w:rsidR="005D75F8" w:rsidRPr="001D1D46">
        <w:rPr>
          <w:rFonts w:ascii="Arial" w:hAnsi="Arial" w:cs="Arial"/>
          <w:sz w:val="20"/>
          <w:szCs w:val="20"/>
          <w:lang w:val="de-DE"/>
        </w:rPr>
        <w:t xml:space="preserve">ine </w:t>
      </w:r>
      <w:r w:rsidR="00571795">
        <w:rPr>
          <w:rFonts w:ascii="Arial" w:hAnsi="Arial" w:cs="Arial"/>
          <w:sz w:val="20"/>
          <w:szCs w:val="20"/>
          <w:lang w:val="de-DE"/>
        </w:rPr>
        <w:t>Platform</w:t>
      </w:r>
      <w:r w:rsidR="005D75F8" w:rsidRPr="001D1D46">
        <w:rPr>
          <w:rFonts w:ascii="Arial" w:hAnsi="Arial" w:cs="Arial"/>
          <w:sz w:val="20"/>
          <w:szCs w:val="20"/>
          <w:lang w:val="de-DE"/>
        </w:rPr>
        <w:t xml:space="preserve"> von Leistungen, die es unseren Kunden erlaubt, </w:t>
      </w:r>
      <w:r w:rsidR="00571795">
        <w:rPr>
          <w:rFonts w:ascii="Arial" w:hAnsi="Arial" w:cs="Arial"/>
          <w:sz w:val="20"/>
          <w:szCs w:val="20"/>
          <w:lang w:val="de-DE"/>
        </w:rPr>
        <w:t>folgende Bereiche an</w:t>
      </w:r>
      <w:r w:rsidR="005D75F8" w:rsidRPr="001D1D46">
        <w:rPr>
          <w:rFonts w:ascii="Arial" w:hAnsi="Arial" w:cs="Arial"/>
          <w:sz w:val="20"/>
          <w:szCs w:val="20"/>
          <w:lang w:val="de-DE"/>
        </w:rPr>
        <w:t xml:space="preserve"> KPMG </w:t>
      </w:r>
      <w:r w:rsidR="00571795">
        <w:rPr>
          <w:rFonts w:ascii="Arial" w:hAnsi="Arial" w:cs="Arial"/>
          <w:sz w:val="20"/>
          <w:szCs w:val="20"/>
          <w:lang w:val="de-DE"/>
        </w:rPr>
        <w:t>auszulagern</w:t>
      </w:r>
      <w:r w:rsidR="005D75F8" w:rsidRPr="001D1D46">
        <w:rPr>
          <w:rFonts w:ascii="Arial" w:hAnsi="Arial" w:cs="Arial"/>
          <w:sz w:val="20"/>
          <w:szCs w:val="20"/>
          <w:lang w:val="de-DE"/>
        </w:rPr>
        <w:t>: Steuern, Risikom</w:t>
      </w:r>
      <w:r w:rsidRPr="001D1D46">
        <w:rPr>
          <w:rFonts w:ascii="Arial" w:hAnsi="Arial" w:cs="Arial"/>
          <w:sz w:val="20"/>
          <w:szCs w:val="20"/>
          <w:lang w:val="de-DE"/>
        </w:rPr>
        <w:t xml:space="preserve">anagement, </w:t>
      </w:r>
      <w:r w:rsidR="00571795">
        <w:rPr>
          <w:rFonts w:ascii="Arial" w:hAnsi="Arial" w:cs="Arial"/>
          <w:sz w:val="20"/>
          <w:szCs w:val="20"/>
          <w:lang w:val="de-DE"/>
        </w:rPr>
        <w:t>Bewertung</w:t>
      </w:r>
      <w:r w:rsidRPr="001D1D46">
        <w:rPr>
          <w:rFonts w:ascii="Arial" w:hAnsi="Arial" w:cs="Arial"/>
          <w:sz w:val="20"/>
          <w:szCs w:val="20"/>
          <w:lang w:val="de-DE"/>
        </w:rPr>
        <w:t xml:space="preserve"> und Be</w:t>
      </w:r>
      <w:r w:rsidR="005D75F8" w:rsidRPr="001D1D46">
        <w:rPr>
          <w:rFonts w:ascii="Arial" w:hAnsi="Arial" w:cs="Arial"/>
          <w:sz w:val="20"/>
          <w:szCs w:val="20"/>
          <w:lang w:val="de-DE"/>
        </w:rPr>
        <w:t>richterstattung –</w:t>
      </w:r>
      <w:r w:rsidR="002D7E2C">
        <w:rPr>
          <w:rFonts w:ascii="Arial" w:hAnsi="Arial" w:cs="Arial"/>
          <w:sz w:val="20"/>
          <w:szCs w:val="20"/>
          <w:lang w:val="de-DE"/>
        </w:rPr>
        <w:t xml:space="preserve"> allen voran</w:t>
      </w:r>
      <w:r w:rsidR="005D75F8" w:rsidRPr="001D1D46">
        <w:rPr>
          <w:rFonts w:ascii="Arial" w:hAnsi="Arial" w:cs="Arial"/>
          <w:sz w:val="20"/>
          <w:szCs w:val="20"/>
          <w:lang w:val="de-DE"/>
        </w:rPr>
        <w:t xml:space="preserve"> </w:t>
      </w:r>
      <w:r w:rsidR="00436CA5">
        <w:rPr>
          <w:rFonts w:ascii="Arial" w:hAnsi="Arial" w:cs="Arial"/>
          <w:sz w:val="20"/>
          <w:szCs w:val="20"/>
          <w:lang w:val="de-DE"/>
        </w:rPr>
        <w:t>unser</w:t>
      </w:r>
      <w:r w:rsidR="005D75F8" w:rsidRPr="001D1D46">
        <w:rPr>
          <w:rFonts w:ascii="Arial" w:hAnsi="Arial" w:cs="Arial"/>
          <w:sz w:val="20"/>
          <w:szCs w:val="20"/>
          <w:lang w:val="de-DE"/>
        </w:rPr>
        <w:t xml:space="preserve"> Bestseller “AIFMD Reporting”. </w:t>
      </w:r>
      <w:r w:rsidR="000A2A48" w:rsidRPr="001D1D46">
        <w:rPr>
          <w:rFonts w:ascii="Arial" w:hAnsi="Arial" w:cs="Arial"/>
          <w:sz w:val="20"/>
          <w:szCs w:val="20"/>
          <w:lang w:val="de-DE"/>
        </w:rPr>
        <w:t xml:space="preserve">Der “Regulatory Scout” bietet unseren Kunden ein </w:t>
      </w:r>
      <w:r w:rsidR="00436CA5">
        <w:rPr>
          <w:rFonts w:ascii="Arial" w:hAnsi="Arial" w:cs="Arial"/>
          <w:sz w:val="20"/>
          <w:szCs w:val="20"/>
          <w:lang w:val="de-DE"/>
        </w:rPr>
        <w:t>spezialisiertes</w:t>
      </w:r>
      <w:r w:rsidR="00487807" w:rsidRPr="001D1D46">
        <w:rPr>
          <w:rFonts w:ascii="Arial" w:hAnsi="Arial" w:cs="Arial"/>
          <w:sz w:val="20"/>
          <w:szCs w:val="20"/>
          <w:lang w:val="de-DE"/>
        </w:rPr>
        <w:t xml:space="preserve"> </w:t>
      </w:r>
      <w:r w:rsidR="000A2A48" w:rsidRPr="001D1D46">
        <w:rPr>
          <w:rFonts w:ascii="Arial" w:hAnsi="Arial" w:cs="Arial"/>
          <w:sz w:val="20"/>
          <w:szCs w:val="20"/>
          <w:lang w:val="de-DE"/>
        </w:rPr>
        <w:t xml:space="preserve">Team, </w:t>
      </w:r>
      <w:r w:rsidR="00737AB8">
        <w:rPr>
          <w:rFonts w:ascii="Arial" w:hAnsi="Arial" w:cs="Arial"/>
          <w:sz w:val="20"/>
          <w:szCs w:val="20"/>
          <w:lang w:val="de-DE"/>
        </w:rPr>
        <w:t xml:space="preserve">welches </w:t>
      </w:r>
      <w:r w:rsidR="000A2A48" w:rsidRPr="001D1D46">
        <w:rPr>
          <w:rFonts w:ascii="Arial" w:hAnsi="Arial" w:cs="Arial"/>
          <w:sz w:val="20"/>
          <w:szCs w:val="20"/>
          <w:lang w:val="de-DE"/>
        </w:rPr>
        <w:t>die Übersicht</w:t>
      </w:r>
      <w:r w:rsidR="00737AB8">
        <w:rPr>
          <w:rFonts w:ascii="Arial" w:hAnsi="Arial" w:cs="Arial"/>
          <w:sz w:val="20"/>
          <w:szCs w:val="20"/>
          <w:lang w:val="de-DE"/>
        </w:rPr>
        <w:t xml:space="preserve"> über sämtliche Regulierungen wahrt</w:t>
      </w:r>
      <w:r w:rsidR="000A2A48" w:rsidRPr="001D1D46">
        <w:rPr>
          <w:rFonts w:ascii="Arial" w:hAnsi="Arial" w:cs="Arial"/>
          <w:sz w:val="20"/>
          <w:szCs w:val="20"/>
          <w:lang w:val="de-DE"/>
        </w:rPr>
        <w:t xml:space="preserve"> und etwaige zukünftige </w:t>
      </w:r>
      <w:r w:rsidR="000A2A48" w:rsidRPr="00B05B71">
        <w:rPr>
          <w:rFonts w:ascii="Arial" w:hAnsi="Arial" w:cs="Arial"/>
          <w:sz w:val="20"/>
          <w:szCs w:val="20"/>
          <w:lang w:val="de-DE"/>
        </w:rPr>
        <w:t xml:space="preserve">Änderungen </w:t>
      </w:r>
      <w:r w:rsidR="00436CA5" w:rsidRPr="00B05B71">
        <w:rPr>
          <w:rFonts w:ascii="Arial" w:hAnsi="Arial" w:cs="Arial"/>
          <w:sz w:val="20"/>
          <w:szCs w:val="20"/>
          <w:lang w:val="de-DE"/>
        </w:rPr>
        <w:t>analysiert</w:t>
      </w:r>
      <w:r w:rsidR="000A2A48" w:rsidRPr="00B05B71">
        <w:rPr>
          <w:rFonts w:ascii="Arial" w:hAnsi="Arial" w:cs="Arial"/>
          <w:sz w:val="20"/>
          <w:szCs w:val="20"/>
          <w:lang w:val="de-DE"/>
        </w:rPr>
        <w:t xml:space="preserve">, was dazu führt, dass unsere Kunden sich ganz auf ihre Kernaktivitäten konzentrieren können und </w:t>
      </w:r>
      <w:bookmarkStart w:id="0" w:name="_GoBack"/>
      <w:bookmarkEnd w:id="0"/>
      <w:r w:rsidR="000A2A48" w:rsidRPr="00B05B71">
        <w:rPr>
          <w:rFonts w:ascii="Arial" w:hAnsi="Arial" w:cs="Arial"/>
          <w:sz w:val="20"/>
          <w:szCs w:val="20"/>
          <w:lang w:val="de-DE"/>
        </w:rPr>
        <w:t>ein Gefühl von Sicherheit erlangen.</w:t>
      </w:r>
      <w:r w:rsidR="00E435C9" w:rsidRPr="00B05B71">
        <w:rPr>
          <w:rFonts w:ascii="Arial" w:hAnsi="Arial" w:cs="Arial"/>
          <w:sz w:val="20"/>
          <w:szCs w:val="20"/>
          <w:lang w:val="de-DE"/>
        </w:rPr>
        <w:t>”</w:t>
      </w:r>
      <w:r w:rsidR="00E435C9" w:rsidRPr="001D1D46">
        <w:rPr>
          <w:rFonts w:ascii="Arial" w:hAnsi="Arial" w:cs="Arial"/>
          <w:sz w:val="20"/>
          <w:szCs w:val="20"/>
          <w:lang w:val="de-DE"/>
        </w:rPr>
        <w:t xml:space="preserve">   </w:t>
      </w:r>
    </w:p>
    <w:p w:rsidR="00E435C9" w:rsidRPr="001D1D46" w:rsidRDefault="00E435C9" w:rsidP="00E435C9">
      <w:pPr>
        <w:pStyle w:val="Heading2"/>
        <w:rPr>
          <w:lang w:val="de-DE"/>
        </w:rPr>
      </w:pPr>
    </w:p>
    <w:p w:rsidR="00E435C9" w:rsidRPr="001D1D46" w:rsidRDefault="00E435C9" w:rsidP="00E435C9">
      <w:pPr>
        <w:pStyle w:val="Heading2"/>
        <w:rPr>
          <w:lang w:val="de-DE"/>
        </w:rPr>
      </w:pPr>
      <w:r w:rsidRPr="001D1D46">
        <w:rPr>
          <w:lang w:val="de-DE"/>
        </w:rPr>
        <w:t xml:space="preserve">Megatrend 2: </w:t>
      </w:r>
      <w:r w:rsidR="00922761" w:rsidRPr="001D1D46">
        <w:rPr>
          <w:lang w:val="de-DE"/>
        </w:rPr>
        <w:t>Unterstützende Technologien</w:t>
      </w:r>
    </w:p>
    <w:p w:rsidR="00922761" w:rsidRPr="001D1D46" w:rsidRDefault="00E435C9" w:rsidP="00922761">
      <w:pPr>
        <w:pStyle w:val="Heading2"/>
        <w:rPr>
          <w:rFonts w:ascii="Arial" w:eastAsiaTheme="minorEastAsia" w:hAnsi="Arial" w:cs="Arial"/>
          <w:b/>
          <w:color w:val="auto"/>
          <w:sz w:val="20"/>
          <w:szCs w:val="20"/>
          <w:lang w:val="de-DE"/>
        </w:rPr>
      </w:pPr>
      <w:r w:rsidRPr="001D1D46">
        <w:rPr>
          <w:rFonts w:ascii="Arial" w:eastAsiaTheme="minorEastAsia" w:hAnsi="Arial" w:cs="Arial"/>
          <w:b/>
          <w:color w:val="auto"/>
          <w:sz w:val="20"/>
          <w:szCs w:val="20"/>
          <w:lang w:val="de-DE"/>
        </w:rPr>
        <w:t>Georges Bock, Managing Partner</w:t>
      </w:r>
    </w:p>
    <w:p w:rsidR="00922761" w:rsidRPr="001D1D46" w:rsidRDefault="001D1D46" w:rsidP="00E435C9">
      <w:pPr>
        <w:autoSpaceDE w:val="0"/>
        <w:autoSpaceDN w:val="0"/>
        <w:adjustRightInd w:val="0"/>
        <w:rPr>
          <w:rFonts w:ascii="Arial" w:hAnsi="Arial" w:cs="Arial"/>
          <w:sz w:val="20"/>
          <w:szCs w:val="20"/>
          <w:lang w:val="de-DE"/>
        </w:rPr>
      </w:pPr>
      <w:r>
        <w:rPr>
          <w:rFonts w:ascii="Arial" w:hAnsi="Arial" w:cs="Arial"/>
          <w:sz w:val="20"/>
          <w:szCs w:val="20"/>
          <w:lang w:val="de-DE"/>
        </w:rPr>
        <w:t>„</w:t>
      </w:r>
      <w:r w:rsidR="00B747CF" w:rsidRPr="001D1D46">
        <w:rPr>
          <w:rFonts w:ascii="Arial" w:hAnsi="Arial" w:cs="Arial"/>
          <w:sz w:val="20"/>
          <w:szCs w:val="20"/>
          <w:lang w:val="de-DE"/>
        </w:rPr>
        <w:t xml:space="preserve">Informations- und Kommunikationstechnologien verbinden Menschen sowohl innerhalb als auch außerhalb von Luxemburg und </w:t>
      </w:r>
      <w:r w:rsidR="001B0987">
        <w:rPr>
          <w:rFonts w:ascii="Arial" w:hAnsi="Arial" w:cs="Arial"/>
          <w:sz w:val="20"/>
          <w:szCs w:val="20"/>
          <w:lang w:val="de-DE"/>
        </w:rPr>
        <w:t>greifen in</w:t>
      </w:r>
      <w:r w:rsidR="00B747CF" w:rsidRPr="001D1D46">
        <w:rPr>
          <w:rFonts w:ascii="Arial" w:hAnsi="Arial" w:cs="Arial"/>
          <w:sz w:val="20"/>
          <w:szCs w:val="20"/>
          <w:lang w:val="de-DE"/>
        </w:rPr>
        <w:t xml:space="preserve"> bereits vorhandene Geschäftsmodelle</w:t>
      </w:r>
      <w:r w:rsidR="001B0987">
        <w:rPr>
          <w:rFonts w:ascii="Arial" w:hAnsi="Arial" w:cs="Arial"/>
          <w:sz w:val="20"/>
          <w:szCs w:val="20"/>
          <w:lang w:val="de-DE"/>
        </w:rPr>
        <w:t xml:space="preserve"> ein</w:t>
      </w:r>
      <w:r w:rsidR="00B747CF" w:rsidRPr="001D1D46">
        <w:rPr>
          <w:rFonts w:ascii="Arial" w:hAnsi="Arial" w:cs="Arial"/>
          <w:sz w:val="20"/>
          <w:szCs w:val="20"/>
          <w:lang w:val="de-DE"/>
        </w:rPr>
        <w:t>. Die Geschwindigkeit der Veränderungen steigt stetig und Technologie treibt die Beschleunigung unserer Leben</w:t>
      </w:r>
      <w:r w:rsidR="001B0987">
        <w:rPr>
          <w:rFonts w:ascii="Arial" w:hAnsi="Arial" w:cs="Arial"/>
          <w:sz w:val="20"/>
          <w:szCs w:val="20"/>
          <w:lang w:val="de-DE"/>
        </w:rPr>
        <w:t>s-</w:t>
      </w:r>
      <w:r w:rsidR="00B747CF" w:rsidRPr="001D1D46">
        <w:rPr>
          <w:rFonts w:ascii="Arial" w:hAnsi="Arial" w:cs="Arial"/>
          <w:sz w:val="20"/>
          <w:szCs w:val="20"/>
          <w:lang w:val="de-DE"/>
        </w:rPr>
        <w:t xml:space="preserve">geschwindigkeit immer weiter voran. Mobile </w:t>
      </w:r>
      <w:r w:rsidR="00F243D2">
        <w:rPr>
          <w:rFonts w:ascii="Arial" w:hAnsi="Arial" w:cs="Arial"/>
          <w:sz w:val="20"/>
          <w:szCs w:val="20"/>
          <w:lang w:val="de-DE"/>
        </w:rPr>
        <w:t>Zahlungsmittel</w:t>
      </w:r>
      <w:r w:rsidR="00B747CF" w:rsidRPr="001D1D46">
        <w:rPr>
          <w:rFonts w:ascii="Arial" w:hAnsi="Arial" w:cs="Arial"/>
          <w:sz w:val="20"/>
          <w:szCs w:val="20"/>
          <w:lang w:val="de-DE"/>
        </w:rPr>
        <w:t xml:space="preserve">, </w:t>
      </w:r>
      <w:r w:rsidR="00966D94" w:rsidRPr="001D1D46">
        <w:rPr>
          <w:rFonts w:ascii="Arial" w:hAnsi="Arial" w:cs="Arial"/>
          <w:sz w:val="20"/>
          <w:szCs w:val="20"/>
          <w:lang w:val="de-DE"/>
        </w:rPr>
        <w:t xml:space="preserve">Datenschutz, </w:t>
      </w:r>
      <w:r w:rsidR="00B747CF" w:rsidRPr="001D1D46">
        <w:rPr>
          <w:rFonts w:ascii="Arial" w:hAnsi="Arial" w:cs="Arial"/>
          <w:sz w:val="20"/>
          <w:szCs w:val="20"/>
          <w:lang w:val="de-DE"/>
        </w:rPr>
        <w:t>Crowd</w:t>
      </w:r>
      <w:r w:rsidRPr="001D1D46">
        <w:rPr>
          <w:rFonts w:ascii="Arial" w:hAnsi="Arial" w:cs="Arial"/>
          <w:sz w:val="20"/>
          <w:szCs w:val="20"/>
          <w:lang w:val="de-DE"/>
        </w:rPr>
        <w:t>-F</w:t>
      </w:r>
      <w:r w:rsidR="00B747CF" w:rsidRPr="001D1D46">
        <w:rPr>
          <w:rFonts w:ascii="Arial" w:hAnsi="Arial" w:cs="Arial"/>
          <w:sz w:val="20"/>
          <w:szCs w:val="20"/>
          <w:lang w:val="de-DE"/>
        </w:rPr>
        <w:t>unding und die Zunahme an digitalen Inhalten</w:t>
      </w:r>
      <w:r w:rsidR="00966D94" w:rsidRPr="001D1D46">
        <w:rPr>
          <w:rFonts w:ascii="Arial" w:hAnsi="Arial" w:cs="Arial"/>
          <w:sz w:val="20"/>
          <w:szCs w:val="20"/>
          <w:lang w:val="de-DE"/>
        </w:rPr>
        <w:t xml:space="preserve"> sind nur einige Beispiele </w:t>
      </w:r>
      <w:r w:rsidR="001B0987">
        <w:rPr>
          <w:rFonts w:ascii="Arial" w:hAnsi="Arial" w:cs="Arial"/>
          <w:sz w:val="20"/>
          <w:szCs w:val="20"/>
          <w:lang w:val="de-DE"/>
        </w:rPr>
        <w:t xml:space="preserve">digitaler Teil-Trends und potenzieller </w:t>
      </w:r>
      <w:r w:rsidR="00966D94" w:rsidRPr="001D1D46">
        <w:rPr>
          <w:rFonts w:ascii="Arial" w:hAnsi="Arial" w:cs="Arial"/>
          <w:sz w:val="20"/>
          <w:szCs w:val="20"/>
          <w:lang w:val="de-DE"/>
        </w:rPr>
        <w:t>Stör</w:t>
      </w:r>
      <w:r w:rsidR="001B0987">
        <w:rPr>
          <w:rFonts w:ascii="Arial" w:hAnsi="Arial" w:cs="Arial"/>
          <w:sz w:val="20"/>
          <w:szCs w:val="20"/>
          <w:lang w:val="de-DE"/>
        </w:rPr>
        <w:t>-</w:t>
      </w:r>
      <w:r w:rsidR="00966D94" w:rsidRPr="001D1D46">
        <w:rPr>
          <w:rFonts w:ascii="Arial" w:hAnsi="Arial" w:cs="Arial"/>
          <w:sz w:val="20"/>
          <w:szCs w:val="20"/>
          <w:lang w:val="de-DE"/>
        </w:rPr>
        <w:t>faktoren. Unseren Kunden den Einfluss verständlicher zu machen, den diese Technologien auf ihre Unternehmen haben werden, ist ein erster Schritt dahin, ihnen weitreichende Möglichkeiten zu eröffnen und sich letzendlich die Kraft der digitalen Transformation, sozialen Netzwerken, Big Data und den dazugehörigen Analysen zu Nutzen zu machen.”</w:t>
      </w:r>
    </w:p>
    <w:p w:rsidR="00E435C9" w:rsidRPr="001D1D46" w:rsidRDefault="00E435C9" w:rsidP="00E435C9">
      <w:pPr>
        <w:autoSpaceDE w:val="0"/>
        <w:autoSpaceDN w:val="0"/>
        <w:adjustRightInd w:val="0"/>
        <w:rPr>
          <w:rFonts w:ascii="Arial" w:hAnsi="Arial" w:cs="Arial"/>
          <w:sz w:val="20"/>
          <w:szCs w:val="20"/>
          <w:highlight w:val="yellow"/>
          <w:lang w:val="de-DE"/>
        </w:rPr>
      </w:pPr>
      <w:r w:rsidRPr="001D1D46">
        <w:rPr>
          <w:rFonts w:ascii="Verdana" w:hAnsi="Verdana"/>
          <w:color w:val="000000"/>
          <w:lang w:val="de-DE"/>
        </w:rPr>
        <w:br w:type="textWrapping" w:clear="all"/>
      </w:r>
    </w:p>
    <w:p w:rsidR="00E435C9" w:rsidRPr="001D1D46" w:rsidRDefault="00E435C9" w:rsidP="00E435C9">
      <w:pPr>
        <w:pStyle w:val="Heading2"/>
        <w:rPr>
          <w:lang w:val="de-DE"/>
        </w:rPr>
      </w:pPr>
      <w:r w:rsidRPr="001D1D46">
        <w:rPr>
          <w:lang w:val="de-DE"/>
        </w:rPr>
        <w:t xml:space="preserve">Megatrend 3: </w:t>
      </w:r>
      <w:r w:rsidR="00966D94" w:rsidRPr="001D1D46">
        <w:rPr>
          <w:lang w:val="de-DE"/>
        </w:rPr>
        <w:t>Verlagerung von Ökonomischer Macht</w:t>
      </w:r>
    </w:p>
    <w:p w:rsidR="00E435C9" w:rsidRPr="001D1D46" w:rsidRDefault="00E435C9" w:rsidP="00E435C9">
      <w:pPr>
        <w:pStyle w:val="Heading2"/>
        <w:rPr>
          <w:rFonts w:ascii="Arial" w:eastAsiaTheme="minorEastAsia" w:hAnsi="Arial" w:cs="Arial"/>
          <w:b/>
          <w:color w:val="auto"/>
          <w:sz w:val="20"/>
          <w:szCs w:val="20"/>
          <w:lang w:val="de-DE"/>
        </w:rPr>
      </w:pPr>
      <w:r w:rsidRPr="001D1D46">
        <w:rPr>
          <w:rFonts w:ascii="Arial" w:eastAsiaTheme="minorEastAsia" w:hAnsi="Arial" w:cs="Arial"/>
          <w:b/>
          <w:color w:val="auto"/>
          <w:sz w:val="20"/>
          <w:szCs w:val="20"/>
          <w:lang w:val="de-DE"/>
        </w:rPr>
        <w:t>Emmanuel Dollé, Head of Audit</w:t>
      </w:r>
    </w:p>
    <w:p w:rsidR="00E435C9" w:rsidRPr="001D1D46" w:rsidRDefault="001D1D46" w:rsidP="00E435C9">
      <w:pPr>
        <w:rPr>
          <w:rFonts w:ascii="Arial" w:hAnsi="Arial" w:cs="Arial"/>
          <w:sz w:val="20"/>
          <w:szCs w:val="20"/>
          <w:lang w:val="de-DE"/>
        </w:rPr>
      </w:pPr>
      <w:r>
        <w:rPr>
          <w:rFonts w:ascii="Arial" w:hAnsi="Arial" w:cs="Arial"/>
          <w:sz w:val="20"/>
          <w:szCs w:val="20"/>
          <w:lang w:val="de-DE"/>
        </w:rPr>
        <w:t>„</w:t>
      </w:r>
      <w:r w:rsidR="00AF7685" w:rsidRPr="001D1D46">
        <w:rPr>
          <w:rFonts w:ascii="Arial" w:hAnsi="Arial" w:cs="Arial"/>
          <w:sz w:val="20"/>
          <w:szCs w:val="20"/>
          <w:lang w:val="de-DE"/>
        </w:rPr>
        <w:t>Die Wirtschaft der Schwellenländer wird zunehme</w:t>
      </w:r>
      <w:r w:rsidR="00B05B71">
        <w:rPr>
          <w:rFonts w:ascii="Arial" w:hAnsi="Arial" w:cs="Arial"/>
          <w:sz w:val="20"/>
          <w:szCs w:val="20"/>
          <w:lang w:val="de-DE"/>
        </w:rPr>
        <w:t>n</w:t>
      </w:r>
      <w:r w:rsidR="00AF7685" w:rsidRPr="001D1D46">
        <w:rPr>
          <w:rFonts w:ascii="Arial" w:hAnsi="Arial" w:cs="Arial"/>
          <w:sz w:val="20"/>
          <w:szCs w:val="20"/>
          <w:lang w:val="de-DE"/>
        </w:rPr>
        <w:t>d wichtiger in Bezug auf das international</w:t>
      </w:r>
      <w:r w:rsidR="00737AB8">
        <w:rPr>
          <w:rFonts w:ascii="Arial" w:hAnsi="Arial" w:cs="Arial"/>
          <w:sz w:val="20"/>
          <w:szCs w:val="20"/>
          <w:lang w:val="de-DE"/>
        </w:rPr>
        <w:t>e</w:t>
      </w:r>
      <w:r w:rsidR="00AF7685" w:rsidRPr="001D1D46">
        <w:rPr>
          <w:rFonts w:ascii="Arial" w:hAnsi="Arial" w:cs="Arial"/>
          <w:sz w:val="20"/>
          <w:szCs w:val="20"/>
          <w:lang w:val="de-DE"/>
        </w:rPr>
        <w:t xml:space="preserve"> Finanzwesen. Die Mac</w:t>
      </w:r>
      <w:r w:rsidR="00737AB8">
        <w:rPr>
          <w:rFonts w:ascii="Arial" w:hAnsi="Arial" w:cs="Arial"/>
          <w:sz w:val="20"/>
          <w:szCs w:val="20"/>
          <w:lang w:val="de-DE"/>
        </w:rPr>
        <w:t>htzentren verlagern sich von den</w:t>
      </w:r>
      <w:r w:rsidR="007D1886">
        <w:rPr>
          <w:rFonts w:ascii="Arial" w:hAnsi="Arial" w:cs="Arial"/>
          <w:sz w:val="20"/>
          <w:szCs w:val="20"/>
          <w:lang w:val="de-DE"/>
        </w:rPr>
        <w:t xml:space="preserve"> Industrieländern hin zu d</w:t>
      </w:r>
      <w:r w:rsidR="00AF7685" w:rsidRPr="001D1D46">
        <w:rPr>
          <w:rFonts w:ascii="Arial" w:hAnsi="Arial" w:cs="Arial"/>
          <w:sz w:val="20"/>
          <w:szCs w:val="20"/>
          <w:lang w:val="de-DE"/>
        </w:rPr>
        <w:t>en neuen Dreh-und Angelpunkten von Einfluss</w:t>
      </w:r>
      <w:r w:rsidR="007D1886">
        <w:rPr>
          <w:rFonts w:ascii="Arial" w:hAnsi="Arial" w:cs="Arial"/>
          <w:sz w:val="20"/>
          <w:szCs w:val="20"/>
          <w:lang w:val="de-DE"/>
        </w:rPr>
        <w:t>;</w:t>
      </w:r>
      <w:r w:rsidR="00AF7685" w:rsidRPr="001D1D46">
        <w:rPr>
          <w:rFonts w:ascii="Arial" w:hAnsi="Arial" w:cs="Arial"/>
          <w:sz w:val="20"/>
          <w:szCs w:val="20"/>
          <w:lang w:val="de-DE"/>
        </w:rPr>
        <w:t xml:space="preserve"> jede </w:t>
      </w:r>
      <w:r w:rsidR="007D1886">
        <w:rPr>
          <w:rFonts w:ascii="Arial" w:hAnsi="Arial" w:cs="Arial"/>
          <w:sz w:val="20"/>
          <w:szCs w:val="20"/>
          <w:lang w:val="de-DE"/>
        </w:rPr>
        <w:t>neu aufsteigende</w:t>
      </w:r>
      <w:r w:rsidR="00AF7685" w:rsidRPr="001D1D46">
        <w:rPr>
          <w:rFonts w:ascii="Arial" w:hAnsi="Arial" w:cs="Arial"/>
          <w:sz w:val="20"/>
          <w:szCs w:val="20"/>
          <w:lang w:val="de-DE"/>
        </w:rPr>
        <w:t xml:space="preserve"> Wirtschaft geht einher mit potentiellen neuen Konsumenten, Möglichkeiten aber auch Herausforderungen. </w:t>
      </w:r>
      <w:r w:rsidR="00D12999" w:rsidRPr="001D1D46">
        <w:rPr>
          <w:rFonts w:ascii="Arial" w:hAnsi="Arial" w:cs="Arial"/>
          <w:sz w:val="20"/>
          <w:szCs w:val="20"/>
          <w:lang w:val="de-DE"/>
        </w:rPr>
        <w:t>Falls Luxemburg im Zentrum dieser sich verlagernden Strukturen ble</w:t>
      </w:r>
      <w:r w:rsidR="00737AB8">
        <w:rPr>
          <w:rFonts w:ascii="Arial" w:hAnsi="Arial" w:cs="Arial"/>
          <w:sz w:val="20"/>
          <w:szCs w:val="20"/>
          <w:lang w:val="de-DE"/>
        </w:rPr>
        <w:t>iben möchte, muss es sich selbst</w:t>
      </w:r>
      <w:r w:rsidR="00D12999" w:rsidRPr="001D1D46">
        <w:rPr>
          <w:rFonts w:ascii="Arial" w:hAnsi="Arial" w:cs="Arial"/>
          <w:sz w:val="20"/>
          <w:szCs w:val="20"/>
          <w:lang w:val="de-DE"/>
        </w:rPr>
        <w:t xml:space="preserve"> neu erfinden, größeres Verständnis der Möglichkeiten und Risiken aufbauen und eine starke Reputation als Finanzmarkt auch außerhalb der traditionellen westlichen Sphären erlangen. Bei KPMG arbeit</w:t>
      </w:r>
      <w:r w:rsidR="00737AB8">
        <w:rPr>
          <w:rFonts w:ascii="Arial" w:hAnsi="Arial" w:cs="Arial"/>
          <w:sz w:val="20"/>
          <w:szCs w:val="20"/>
          <w:lang w:val="de-DE"/>
        </w:rPr>
        <w:t xml:space="preserve">en wir täglich </w:t>
      </w:r>
      <w:r w:rsidR="007D1886">
        <w:rPr>
          <w:rFonts w:ascii="Arial" w:hAnsi="Arial" w:cs="Arial"/>
          <w:sz w:val="20"/>
          <w:szCs w:val="20"/>
          <w:lang w:val="de-DE"/>
        </w:rPr>
        <w:t>mit unserem internationalen Netzwerk</w:t>
      </w:r>
      <w:r w:rsidR="00D12999" w:rsidRPr="001D1D46">
        <w:rPr>
          <w:rFonts w:ascii="Arial" w:hAnsi="Arial" w:cs="Arial"/>
          <w:sz w:val="20"/>
          <w:szCs w:val="20"/>
          <w:lang w:val="de-DE"/>
        </w:rPr>
        <w:t xml:space="preserve"> daran, diese Veränderungen nicht nur zusammen zu verstehen, sondern auch zu bewältigen. Um noch besser für unsere Kunden an Ort und Stelle </w:t>
      </w:r>
      <w:r w:rsidR="00737AB8">
        <w:rPr>
          <w:rFonts w:ascii="Arial" w:hAnsi="Arial" w:cs="Arial"/>
          <w:sz w:val="20"/>
          <w:szCs w:val="20"/>
          <w:lang w:val="de-DE"/>
        </w:rPr>
        <w:t xml:space="preserve">ihrer Geschäfte </w:t>
      </w:r>
      <w:r w:rsidR="00D12999" w:rsidRPr="001D1D46">
        <w:rPr>
          <w:rFonts w:ascii="Arial" w:hAnsi="Arial" w:cs="Arial"/>
          <w:sz w:val="20"/>
          <w:szCs w:val="20"/>
          <w:lang w:val="de-DE"/>
        </w:rPr>
        <w:t>sein zu können, haben wir hier in Luxemburg internationale Kompetenz-Zentren ins Leben gerufen, z.B. mit unseren Experten für China, Japan und Russland.”</w:t>
      </w:r>
    </w:p>
    <w:p w:rsidR="00D12999" w:rsidRPr="001D1D46" w:rsidRDefault="00D12999" w:rsidP="00E435C9">
      <w:pPr>
        <w:rPr>
          <w:rFonts w:ascii="Arial" w:hAnsi="Arial" w:cs="Arial"/>
          <w:sz w:val="20"/>
          <w:szCs w:val="20"/>
          <w:lang w:val="de-DE"/>
        </w:rPr>
      </w:pPr>
    </w:p>
    <w:p w:rsidR="00E435C9" w:rsidRPr="001D1D46" w:rsidRDefault="00E435C9" w:rsidP="00E435C9">
      <w:pPr>
        <w:rPr>
          <w:b/>
          <w:lang w:val="de-DE"/>
        </w:rPr>
      </w:pPr>
      <w:r w:rsidRPr="001D1D46">
        <w:rPr>
          <w:b/>
          <w:lang w:val="de-DE"/>
        </w:rPr>
        <w:t>Thomas Feld, COO</w:t>
      </w:r>
    </w:p>
    <w:p w:rsidR="007F7701" w:rsidRPr="001D1D46" w:rsidRDefault="001D1D46" w:rsidP="00E435C9">
      <w:pPr>
        <w:autoSpaceDE w:val="0"/>
        <w:autoSpaceDN w:val="0"/>
        <w:adjustRightInd w:val="0"/>
        <w:rPr>
          <w:rFonts w:ascii="Arial" w:hAnsi="Arial" w:cs="Arial"/>
          <w:sz w:val="20"/>
          <w:szCs w:val="20"/>
          <w:lang w:val="de-DE"/>
        </w:rPr>
      </w:pPr>
      <w:r>
        <w:rPr>
          <w:rFonts w:ascii="Arial" w:hAnsi="Arial" w:cs="Arial"/>
          <w:sz w:val="20"/>
          <w:szCs w:val="20"/>
          <w:lang w:val="de-DE"/>
        </w:rPr>
        <w:t>„</w:t>
      </w:r>
      <w:r w:rsidR="007F7701" w:rsidRPr="001D1D46">
        <w:rPr>
          <w:rFonts w:ascii="Arial" w:hAnsi="Arial" w:cs="Arial"/>
          <w:sz w:val="20"/>
          <w:szCs w:val="20"/>
          <w:lang w:val="de-DE"/>
        </w:rPr>
        <w:t>Was wir für uns im Lauf</w:t>
      </w:r>
      <w:r w:rsidR="00216F4C" w:rsidRPr="001D1D46">
        <w:rPr>
          <w:rFonts w:ascii="Arial" w:hAnsi="Arial" w:cs="Arial"/>
          <w:sz w:val="20"/>
          <w:szCs w:val="20"/>
          <w:lang w:val="de-DE"/>
        </w:rPr>
        <w:t>e des letzten Jahres erreicht ha</w:t>
      </w:r>
      <w:r w:rsidR="007F7701" w:rsidRPr="001D1D46">
        <w:rPr>
          <w:rFonts w:ascii="Arial" w:hAnsi="Arial" w:cs="Arial"/>
          <w:sz w:val="20"/>
          <w:szCs w:val="20"/>
          <w:lang w:val="de-DE"/>
        </w:rPr>
        <w:t>ben, ist genau das, was wir für</w:t>
      </w:r>
      <w:r w:rsidR="00737AB8">
        <w:rPr>
          <w:rFonts w:ascii="Arial" w:hAnsi="Arial" w:cs="Arial"/>
          <w:sz w:val="20"/>
          <w:szCs w:val="20"/>
          <w:lang w:val="de-DE"/>
        </w:rPr>
        <w:t xml:space="preserve"> auch</w:t>
      </w:r>
      <w:r w:rsidR="007F7701" w:rsidRPr="001D1D46">
        <w:rPr>
          <w:rFonts w:ascii="Arial" w:hAnsi="Arial" w:cs="Arial"/>
          <w:sz w:val="20"/>
          <w:szCs w:val="20"/>
          <w:lang w:val="de-DE"/>
        </w:rPr>
        <w:t xml:space="preserve"> unsere Kunden tun: Tran</w:t>
      </w:r>
      <w:r w:rsidR="00737AB8">
        <w:rPr>
          <w:rFonts w:ascii="Arial" w:hAnsi="Arial" w:cs="Arial"/>
          <w:sz w:val="20"/>
          <w:szCs w:val="20"/>
          <w:lang w:val="de-DE"/>
        </w:rPr>
        <w:t>sformation. Zukunftsorientierte</w:t>
      </w:r>
      <w:r w:rsidR="001B0987">
        <w:rPr>
          <w:rFonts w:ascii="Arial" w:hAnsi="Arial" w:cs="Arial"/>
          <w:sz w:val="20"/>
          <w:szCs w:val="20"/>
          <w:lang w:val="de-DE"/>
        </w:rPr>
        <w:t xml:space="preserve"> Leistungen zu entwickeln,</w:t>
      </w:r>
      <w:r w:rsidR="007F7701" w:rsidRPr="001D1D46">
        <w:rPr>
          <w:rFonts w:ascii="Arial" w:hAnsi="Arial" w:cs="Arial"/>
          <w:sz w:val="20"/>
          <w:szCs w:val="20"/>
          <w:lang w:val="de-DE"/>
        </w:rPr>
        <w:t xml:space="preserve"> erforderte Investitionen in Menschen, </w:t>
      </w:r>
      <w:r w:rsidR="001B0987">
        <w:rPr>
          <w:rFonts w:ascii="Arial" w:hAnsi="Arial" w:cs="Arial"/>
          <w:sz w:val="20"/>
          <w:szCs w:val="20"/>
          <w:lang w:val="de-DE"/>
        </w:rPr>
        <w:t>K</w:t>
      </w:r>
      <w:r w:rsidR="007F7701" w:rsidRPr="001D1D46">
        <w:rPr>
          <w:rFonts w:ascii="Arial" w:hAnsi="Arial" w:cs="Arial"/>
          <w:sz w:val="20"/>
          <w:szCs w:val="20"/>
          <w:lang w:val="de-DE"/>
        </w:rPr>
        <w:t xml:space="preserve">ompetenz und Infrastruktur </w:t>
      </w:r>
      <w:r w:rsidR="001B0987">
        <w:rPr>
          <w:rFonts w:ascii="Arial" w:hAnsi="Arial" w:cs="Arial"/>
          <w:sz w:val="20"/>
          <w:szCs w:val="20"/>
          <w:lang w:val="de-DE"/>
        </w:rPr>
        <w:t>– was sich</w:t>
      </w:r>
      <w:r w:rsidR="00216F4C" w:rsidRPr="001D1D46">
        <w:rPr>
          <w:rFonts w:ascii="Arial" w:hAnsi="Arial" w:cs="Arial"/>
          <w:sz w:val="20"/>
          <w:szCs w:val="20"/>
          <w:lang w:val="de-DE"/>
        </w:rPr>
        <w:t xml:space="preserve"> auch in unseren </w:t>
      </w:r>
      <w:r w:rsidR="001B0987">
        <w:rPr>
          <w:rFonts w:ascii="Arial" w:hAnsi="Arial" w:cs="Arial"/>
          <w:sz w:val="20"/>
          <w:szCs w:val="20"/>
          <w:lang w:val="de-DE"/>
        </w:rPr>
        <w:t>Finanzzahlen wider</w:t>
      </w:r>
      <w:r w:rsidR="00216F4C" w:rsidRPr="001D1D46">
        <w:rPr>
          <w:rFonts w:ascii="Arial" w:hAnsi="Arial" w:cs="Arial"/>
          <w:sz w:val="20"/>
          <w:szCs w:val="20"/>
          <w:lang w:val="de-DE"/>
        </w:rPr>
        <w:t xml:space="preserve">spiegelt -  aber </w:t>
      </w:r>
      <w:r w:rsidR="00737AB8">
        <w:rPr>
          <w:rFonts w:ascii="Arial" w:hAnsi="Arial" w:cs="Arial"/>
          <w:sz w:val="20"/>
          <w:szCs w:val="20"/>
          <w:lang w:val="de-DE"/>
        </w:rPr>
        <w:t xml:space="preserve">es </w:t>
      </w:r>
      <w:r w:rsidR="00216F4C" w:rsidRPr="001D1D46">
        <w:rPr>
          <w:rFonts w:ascii="Arial" w:hAnsi="Arial" w:cs="Arial"/>
          <w:sz w:val="20"/>
          <w:szCs w:val="20"/>
          <w:lang w:val="de-DE"/>
        </w:rPr>
        <w:t xml:space="preserve">bleibt noch viel zu tun. Mit dem Umzug </w:t>
      </w:r>
      <w:r w:rsidR="001B0987">
        <w:rPr>
          <w:rFonts w:ascii="Arial" w:hAnsi="Arial" w:cs="Arial"/>
          <w:sz w:val="20"/>
          <w:szCs w:val="20"/>
          <w:lang w:val="de-DE"/>
        </w:rPr>
        <w:t>in unser zukünftiges Gebäude</w:t>
      </w:r>
      <w:r w:rsidR="00216F4C" w:rsidRPr="001D1D46">
        <w:rPr>
          <w:rFonts w:ascii="Arial" w:hAnsi="Arial" w:cs="Arial"/>
          <w:sz w:val="20"/>
          <w:szCs w:val="20"/>
          <w:lang w:val="de-DE"/>
        </w:rPr>
        <w:t xml:space="preserve"> </w:t>
      </w:r>
      <w:r w:rsidR="00216F4C" w:rsidRPr="001D1D46">
        <w:rPr>
          <w:rFonts w:ascii="Arial" w:hAnsi="Arial" w:cs="Arial"/>
          <w:i/>
          <w:sz w:val="20"/>
          <w:szCs w:val="20"/>
          <w:lang w:val="de-DE"/>
        </w:rPr>
        <w:t xml:space="preserve">39, Avenue Kennedy </w:t>
      </w:r>
      <w:r w:rsidR="00216F4C" w:rsidRPr="001D1D46">
        <w:rPr>
          <w:rFonts w:ascii="Arial" w:hAnsi="Arial" w:cs="Arial"/>
          <w:sz w:val="20"/>
          <w:szCs w:val="20"/>
          <w:lang w:val="de-DE"/>
        </w:rPr>
        <w:t xml:space="preserve">in diesem Jahr machen wir Fortschritte hin zu unserer Vision eines hochmodernen Arbeitsumfeldes für Kunden und Mitarbeiter, indem wir drei Schlüsselelemente miteinander kombinieren: Gemeinschaft, Effizienz und Lifestyle. Großzügige und offene Arbeitsbereiche, besonders gestaltete </w:t>
      </w:r>
      <w:r w:rsidR="00A12AE2" w:rsidRPr="001D1D46">
        <w:rPr>
          <w:rFonts w:ascii="Arial" w:hAnsi="Arial" w:cs="Arial"/>
          <w:sz w:val="20"/>
          <w:szCs w:val="20"/>
          <w:lang w:val="de-DE"/>
        </w:rPr>
        <w:t xml:space="preserve">Meeting-Räume, ein Bistro, eine Kantine und ein Café: Orte, an denen man zusammenkommen kann, Ideen austauschen </w:t>
      </w:r>
      <w:r w:rsidR="007D1886">
        <w:rPr>
          <w:rFonts w:ascii="Arial" w:hAnsi="Arial" w:cs="Arial"/>
          <w:sz w:val="20"/>
          <w:szCs w:val="20"/>
          <w:lang w:val="de-DE"/>
        </w:rPr>
        <w:t xml:space="preserve">und neu entwickeln </w:t>
      </w:r>
      <w:r w:rsidR="00A12AE2" w:rsidRPr="001D1D46">
        <w:rPr>
          <w:rFonts w:ascii="Arial" w:hAnsi="Arial" w:cs="Arial"/>
          <w:sz w:val="20"/>
          <w:szCs w:val="20"/>
          <w:lang w:val="de-DE"/>
        </w:rPr>
        <w:t>kann.”</w:t>
      </w:r>
    </w:p>
    <w:p w:rsidR="00E435C9" w:rsidRPr="001D1D46" w:rsidRDefault="00E435C9" w:rsidP="00E435C9">
      <w:pPr>
        <w:autoSpaceDE w:val="0"/>
        <w:autoSpaceDN w:val="0"/>
        <w:adjustRightInd w:val="0"/>
        <w:rPr>
          <w:rFonts w:ascii="Arial" w:hAnsi="Arial" w:cs="Arial"/>
          <w:sz w:val="20"/>
          <w:szCs w:val="20"/>
          <w:highlight w:val="yellow"/>
          <w:lang w:val="de-DE"/>
        </w:rPr>
      </w:pPr>
    </w:p>
    <w:p w:rsidR="00E435C9" w:rsidRPr="00E21EE0" w:rsidRDefault="00E435C9" w:rsidP="00E435C9">
      <w:pPr>
        <w:rPr>
          <w:b/>
        </w:rPr>
      </w:pPr>
      <w:r w:rsidRPr="00E21EE0">
        <w:rPr>
          <w:b/>
        </w:rPr>
        <w:t>Sebastien Labbé, Head of Tax and People</w:t>
      </w:r>
    </w:p>
    <w:p w:rsidR="00A57EAB" w:rsidRPr="001D1D46" w:rsidRDefault="001D1D46" w:rsidP="00E435C9">
      <w:pPr>
        <w:autoSpaceDE w:val="0"/>
        <w:autoSpaceDN w:val="0"/>
        <w:adjustRightInd w:val="0"/>
        <w:rPr>
          <w:rFonts w:ascii="Arial" w:hAnsi="Arial" w:cs="Arial"/>
          <w:sz w:val="20"/>
          <w:szCs w:val="20"/>
          <w:lang w:val="de-DE"/>
        </w:rPr>
      </w:pPr>
      <w:r>
        <w:rPr>
          <w:rFonts w:ascii="Arial" w:hAnsi="Arial" w:cs="Arial"/>
          <w:sz w:val="20"/>
          <w:szCs w:val="20"/>
          <w:lang w:val="de-DE"/>
        </w:rPr>
        <w:t>„</w:t>
      </w:r>
      <w:r w:rsidR="00F40D08" w:rsidRPr="001D1D46">
        <w:rPr>
          <w:rFonts w:ascii="Arial" w:hAnsi="Arial" w:cs="Arial"/>
          <w:sz w:val="20"/>
          <w:szCs w:val="20"/>
          <w:lang w:val="de-DE"/>
        </w:rPr>
        <w:t xml:space="preserve">Hinter dem Erfolg von KPMG stehen vorrangig unsere Mitarbeiter und die Qualität und Werte, die sie in ihre Arbeit einbringen. Sie haben </w:t>
      </w:r>
      <w:r w:rsidR="007D1886">
        <w:rPr>
          <w:rFonts w:ascii="Arial" w:hAnsi="Arial" w:cs="Arial"/>
          <w:sz w:val="20"/>
          <w:szCs w:val="20"/>
          <w:lang w:val="de-DE"/>
        </w:rPr>
        <w:t>in dem</w:t>
      </w:r>
      <w:r w:rsidR="00F40D08" w:rsidRPr="001D1D46">
        <w:rPr>
          <w:rFonts w:ascii="Arial" w:hAnsi="Arial" w:cs="Arial"/>
          <w:sz w:val="20"/>
          <w:szCs w:val="20"/>
          <w:lang w:val="de-DE"/>
        </w:rPr>
        <w:t xml:space="preserve"> Prozess dieser Transformation hindurch denselben Einsatz </w:t>
      </w:r>
      <w:r w:rsidR="007D1886">
        <w:rPr>
          <w:rFonts w:ascii="Arial" w:hAnsi="Arial" w:cs="Arial"/>
          <w:sz w:val="20"/>
          <w:szCs w:val="20"/>
          <w:lang w:val="de-DE"/>
        </w:rPr>
        <w:t>gezeigt</w:t>
      </w:r>
      <w:r w:rsidR="00F40D08" w:rsidRPr="001D1D46">
        <w:rPr>
          <w:rFonts w:ascii="Arial" w:hAnsi="Arial" w:cs="Arial"/>
          <w:sz w:val="20"/>
          <w:szCs w:val="20"/>
          <w:lang w:val="de-DE"/>
        </w:rPr>
        <w:t>, den sie auch sonst in ihren Aufgaben an den Tag legen. Dieses Engagement erklärt das Vertrauen unserer Kunden und d</w:t>
      </w:r>
      <w:r w:rsidR="00737AB8">
        <w:rPr>
          <w:rFonts w:ascii="Arial" w:hAnsi="Arial" w:cs="Arial"/>
          <w:sz w:val="20"/>
          <w:szCs w:val="20"/>
          <w:lang w:val="de-DE"/>
        </w:rPr>
        <w:t xml:space="preserve">ie </w:t>
      </w:r>
      <w:r w:rsidR="007D1886">
        <w:rPr>
          <w:rFonts w:ascii="Arial" w:hAnsi="Arial" w:cs="Arial"/>
          <w:sz w:val="20"/>
          <w:szCs w:val="20"/>
          <w:lang w:val="de-DE"/>
        </w:rPr>
        <w:t>Stärke</w:t>
      </w:r>
      <w:r w:rsidR="00737AB8">
        <w:rPr>
          <w:rFonts w:ascii="Arial" w:hAnsi="Arial" w:cs="Arial"/>
          <w:sz w:val="20"/>
          <w:szCs w:val="20"/>
          <w:lang w:val="de-DE"/>
        </w:rPr>
        <w:t xml:space="preserve"> der Beziehungen, </w:t>
      </w:r>
      <w:r w:rsidR="00F40D08" w:rsidRPr="001D1D46">
        <w:rPr>
          <w:rFonts w:ascii="Arial" w:hAnsi="Arial" w:cs="Arial"/>
          <w:sz w:val="20"/>
          <w:szCs w:val="20"/>
          <w:lang w:val="de-DE"/>
        </w:rPr>
        <w:t>die sie mit unseren Mitarbeitern haben.”</w:t>
      </w:r>
    </w:p>
    <w:p w:rsidR="00A57EAB" w:rsidRPr="001D1D46" w:rsidRDefault="00A57EAB">
      <w:pPr>
        <w:spacing w:after="200" w:line="276" w:lineRule="auto"/>
        <w:rPr>
          <w:rFonts w:ascii="Arial" w:hAnsi="Arial" w:cs="Arial"/>
          <w:sz w:val="20"/>
          <w:szCs w:val="20"/>
          <w:lang w:val="de-DE"/>
        </w:rPr>
      </w:pPr>
      <w:r w:rsidRPr="001D1D46">
        <w:rPr>
          <w:rFonts w:ascii="Arial" w:hAnsi="Arial" w:cs="Arial"/>
          <w:sz w:val="20"/>
          <w:szCs w:val="20"/>
          <w:lang w:val="de-DE"/>
        </w:rPr>
        <w:br w:type="page"/>
      </w:r>
    </w:p>
    <w:tbl>
      <w:tblPr>
        <w:tblW w:w="9214" w:type="dxa"/>
        <w:tblLook w:val="04A0"/>
      </w:tblPr>
      <w:tblGrid>
        <w:gridCol w:w="3265"/>
        <w:gridCol w:w="3256"/>
        <w:gridCol w:w="2693"/>
      </w:tblGrid>
      <w:tr w:rsidR="00487807" w:rsidRPr="001D1D46" w:rsidTr="005A6FE0">
        <w:trPr>
          <w:trHeight w:val="300"/>
        </w:trPr>
        <w:tc>
          <w:tcPr>
            <w:tcW w:w="9214" w:type="dxa"/>
            <w:gridSpan w:val="3"/>
            <w:vMerge w:val="restart"/>
            <w:tcBorders>
              <w:top w:val="nil"/>
              <w:left w:val="nil"/>
              <w:bottom w:val="single" w:sz="4" w:space="0" w:color="000000"/>
              <w:right w:val="nil"/>
            </w:tcBorders>
            <w:shd w:val="clear" w:color="auto" w:fill="auto"/>
            <w:vAlign w:val="bottom"/>
            <w:hideMark/>
          </w:tcPr>
          <w:p w:rsidR="00487807" w:rsidRPr="001D1D46" w:rsidRDefault="00487807" w:rsidP="005A6FE0">
            <w:pPr>
              <w:jc w:val="right"/>
              <w:rPr>
                <w:color w:val="000000"/>
                <w:lang w:val="de-DE"/>
              </w:rPr>
            </w:pPr>
            <w:r w:rsidRPr="001D1D46">
              <w:rPr>
                <w:color w:val="000000"/>
                <w:lang w:val="de-DE"/>
              </w:rPr>
              <w:t>THE TOPLINE</w:t>
            </w:r>
            <w:r w:rsidRPr="001D1D46">
              <w:rPr>
                <w:color w:val="000000"/>
                <w:lang w:val="de-DE"/>
              </w:rPr>
              <w:br/>
            </w:r>
            <w:r w:rsidRPr="001D1D46">
              <w:rPr>
                <w:color w:val="000000"/>
                <w:sz w:val="44"/>
                <w:szCs w:val="44"/>
                <w:lang w:val="de-DE"/>
              </w:rPr>
              <w:t>KEY FACTS</w:t>
            </w:r>
          </w:p>
        </w:tc>
      </w:tr>
      <w:tr w:rsidR="00487807" w:rsidRPr="001D1D46" w:rsidTr="005A6FE0">
        <w:trPr>
          <w:trHeight w:val="630"/>
        </w:trPr>
        <w:tc>
          <w:tcPr>
            <w:tcW w:w="9214" w:type="dxa"/>
            <w:gridSpan w:val="3"/>
            <w:vMerge/>
            <w:tcBorders>
              <w:top w:val="nil"/>
              <w:left w:val="nil"/>
              <w:bottom w:val="single" w:sz="4" w:space="0" w:color="000000"/>
              <w:right w:val="nil"/>
            </w:tcBorders>
            <w:vAlign w:val="center"/>
            <w:hideMark/>
          </w:tcPr>
          <w:p w:rsidR="00487807" w:rsidRPr="001D1D46" w:rsidRDefault="00487807" w:rsidP="005A6FE0">
            <w:pPr>
              <w:rPr>
                <w:color w:val="000000"/>
                <w:lang w:val="de-DE"/>
              </w:rPr>
            </w:pPr>
          </w:p>
        </w:tc>
      </w:tr>
      <w:tr w:rsidR="00487807" w:rsidRPr="001D1D46" w:rsidTr="005A6FE0">
        <w:trPr>
          <w:trHeight w:val="300"/>
        </w:trPr>
        <w:tc>
          <w:tcPr>
            <w:tcW w:w="3265" w:type="dxa"/>
            <w:tcBorders>
              <w:top w:val="nil"/>
              <w:left w:val="nil"/>
              <w:bottom w:val="nil"/>
              <w:right w:val="nil"/>
            </w:tcBorders>
            <w:shd w:val="clear" w:color="auto" w:fill="auto"/>
            <w:noWrap/>
            <w:vAlign w:val="bottom"/>
            <w:hideMark/>
          </w:tcPr>
          <w:p w:rsidR="00487807" w:rsidRPr="001D1D46" w:rsidRDefault="00487807" w:rsidP="005A6FE0">
            <w:pPr>
              <w:rPr>
                <w:color w:val="33CCCC"/>
                <w:lang w:val="de-DE"/>
              </w:rPr>
            </w:pPr>
            <w:r w:rsidRPr="001D1D46">
              <w:rPr>
                <w:color w:val="0070C0"/>
                <w:lang w:val="de-DE"/>
              </w:rPr>
              <w:t>UMSATZ</w:t>
            </w:r>
          </w:p>
        </w:tc>
        <w:tc>
          <w:tcPr>
            <w:tcW w:w="3256" w:type="dxa"/>
            <w:tcBorders>
              <w:top w:val="nil"/>
              <w:left w:val="nil"/>
              <w:bottom w:val="nil"/>
              <w:right w:val="nil"/>
            </w:tcBorders>
            <w:shd w:val="clear" w:color="auto" w:fill="auto"/>
            <w:noWrap/>
            <w:vAlign w:val="bottom"/>
            <w:hideMark/>
          </w:tcPr>
          <w:p w:rsidR="00487807" w:rsidRPr="001D1D46" w:rsidRDefault="00487807" w:rsidP="007D1886">
            <w:pPr>
              <w:rPr>
                <w:color w:val="0070C0"/>
                <w:lang w:val="de-DE"/>
              </w:rPr>
            </w:pPr>
            <w:r w:rsidRPr="001D1D46">
              <w:rPr>
                <w:color w:val="0070C0"/>
                <w:lang w:val="de-DE"/>
              </w:rPr>
              <w:t xml:space="preserve">AUDIT </w:t>
            </w:r>
            <w:r w:rsidR="007D1886" w:rsidRPr="001D1D46">
              <w:rPr>
                <w:color w:val="0070C0"/>
                <w:lang w:val="de-DE"/>
              </w:rPr>
              <w:t>UMSATZ</w:t>
            </w:r>
          </w:p>
        </w:tc>
        <w:tc>
          <w:tcPr>
            <w:tcW w:w="2693" w:type="dxa"/>
            <w:tcBorders>
              <w:top w:val="nil"/>
              <w:left w:val="nil"/>
              <w:bottom w:val="nil"/>
              <w:right w:val="nil"/>
            </w:tcBorders>
            <w:shd w:val="clear" w:color="auto" w:fill="auto"/>
            <w:noWrap/>
            <w:vAlign w:val="bottom"/>
            <w:hideMark/>
          </w:tcPr>
          <w:p w:rsidR="00487807" w:rsidRPr="001D1D46" w:rsidRDefault="00487807" w:rsidP="005A6FE0">
            <w:pPr>
              <w:rPr>
                <w:color w:val="0070C0"/>
                <w:lang w:val="de-DE"/>
              </w:rPr>
            </w:pPr>
            <w:r w:rsidRPr="001D1D46">
              <w:rPr>
                <w:color w:val="0070C0"/>
                <w:lang w:val="de-DE"/>
              </w:rPr>
              <w:t xml:space="preserve">ADVISORY </w:t>
            </w:r>
            <w:r w:rsidR="007D1886" w:rsidRPr="001D1D46">
              <w:rPr>
                <w:color w:val="0070C0"/>
                <w:lang w:val="de-DE"/>
              </w:rPr>
              <w:t>UMSATZ</w:t>
            </w:r>
          </w:p>
        </w:tc>
      </w:tr>
      <w:tr w:rsidR="00487807" w:rsidRPr="001D1D46" w:rsidTr="005A6FE0">
        <w:trPr>
          <w:trHeight w:val="900"/>
        </w:trPr>
        <w:tc>
          <w:tcPr>
            <w:tcW w:w="3265" w:type="dxa"/>
            <w:tcBorders>
              <w:top w:val="nil"/>
              <w:left w:val="nil"/>
              <w:bottom w:val="nil"/>
              <w:right w:val="nil"/>
            </w:tcBorders>
            <w:shd w:val="clear" w:color="auto" w:fill="auto"/>
            <w:noWrap/>
            <w:vAlign w:val="bottom"/>
            <w:hideMark/>
          </w:tcPr>
          <w:p w:rsidR="00487807" w:rsidRPr="001D1D46" w:rsidRDefault="00487807" w:rsidP="005A6FE0">
            <w:pPr>
              <w:rPr>
                <w:rFonts w:ascii="Kalinga" w:hAnsi="Kalinga" w:cs="Kalinga"/>
                <w:color w:val="000000"/>
                <w:sz w:val="56"/>
                <w:szCs w:val="56"/>
                <w:lang w:val="de-DE"/>
              </w:rPr>
            </w:pPr>
            <w:r w:rsidRPr="001D1D46">
              <w:rPr>
                <w:rFonts w:ascii="Kalinga" w:hAnsi="Kalinga" w:cs="Kalinga"/>
                <w:color w:val="000000"/>
                <w:sz w:val="56"/>
                <w:szCs w:val="56"/>
                <w:lang w:val="de-DE"/>
              </w:rPr>
              <w:t>€138m</w:t>
            </w:r>
          </w:p>
        </w:tc>
        <w:tc>
          <w:tcPr>
            <w:tcW w:w="3256" w:type="dxa"/>
            <w:tcBorders>
              <w:top w:val="nil"/>
              <w:left w:val="nil"/>
              <w:bottom w:val="nil"/>
              <w:right w:val="nil"/>
            </w:tcBorders>
            <w:shd w:val="clear" w:color="auto" w:fill="auto"/>
            <w:noWrap/>
            <w:vAlign w:val="bottom"/>
            <w:hideMark/>
          </w:tcPr>
          <w:p w:rsidR="00487807" w:rsidRPr="001D1D46" w:rsidRDefault="00487807" w:rsidP="005A6FE0">
            <w:pPr>
              <w:rPr>
                <w:rFonts w:ascii="Kalinga" w:hAnsi="Kalinga" w:cs="Kalinga"/>
                <w:color w:val="000000"/>
                <w:sz w:val="56"/>
                <w:szCs w:val="56"/>
                <w:lang w:val="de-DE"/>
              </w:rPr>
            </w:pPr>
            <w:r w:rsidRPr="001D1D46">
              <w:rPr>
                <w:rFonts w:ascii="Kalinga" w:hAnsi="Kalinga" w:cs="Kalinga"/>
                <w:color w:val="000000"/>
                <w:sz w:val="56"/>
                <w:szCs w:val="56"/>
                <w:lang w:val="de-DE"/>
              </w:rPr>
              <w:t>€70m</w:t>
            </w:r>
          </w:p>
        </w:tc>
        <w:tc>
          <w:tcPr>
            <w:tcW w:w="2693" w:type="dxa"/>
            <w:tcBorders>
              <w:top w:val="nil"/>
              <w:left w:val="nil"/>
              <w:bottom w:val="nil"/>
              <w:right w:val="nil"/>
            </w:tcBorders>
            <w:shd w:val="clear" w:color="auto" w:fill="auto"/>
            <w:noWrap/>
            <w:vAlign w:val="bottom"/>
            <w:hideMark/>
          </w:tcPr>
          <w:p w:rsidR="00487807" w:rsidRPr="001D1D46" w:rsidRDefault="00487807" w:rsidP="005A6FE0">
            <w:pPr>
              <w:rPr>
                <w:rFonts w:ascii="Kalinga" w:hAnsi="Kalinga" w:cs="Kalinga"/>
                <w:color w:val="000000"/>
                <w:sz w:val="56"/>
                <w:szCs w:val="56"/>
                <w:lang w:val="de-DE"/>
              </w:rPr>
            </w:pPr>
            <w:r w:rsidRPr="001D1D46">
              <w:rPr>
                <w:rFonts w:ascii="Kalinga" w:hAnsi="Kalinga" w:cs="Kalinga"/>
                <w:color w:val="000000"/>
                <w:sz w:val="56"/>
                <w:szCs w:val="56"/>
                <w:lang w:val="de-DE"/>
              </w:rPr>
              <w:t>€68m</w:t>
            </w:r>
          </w:p>
        </w:tc>
      </w:tr>
      <w:tr w:rsidR="00487807" w:rsidRPr="001D1D46" w:rsidTr="005A6FE0">
        <w:trPr>
          <w:trHeight w:val="360"/>
        </w:trPr>
        <w:tc>
          <w:tcPr>
            <w:tcW w:w="3265" w:type="dxa"/>
            <w:tcBorders>
              <w:top w:val="nil"/>
              <w:left w:val="nil"/>
              <w:bottom w:val="nil"/>
              <w:right w:val="nil"/>
            </w:tcBorders>
            <w:shd w:val="clear" w:color="auto" w:fill="auto"/>
            <w:noWrap/>
            <w:vAlign w:val="bottom"/>
            <w:hideMark/>
          </w:tcPr>
          <w:p w:rsidR="00487807" w:rsidRPr="001D1D46" w:rsidRDefault="00487807" w:rsidP="005A6FE0">
            <w:pPr>
              <w:rPr>
                <w:rFonts w:ascii="Kalinga" w:hAnsi="Kalinga" w:cs="Kalinga"/>
                <w:color w:val="000000"/>
                <w:lang w:val="de-DE"/>
              </w:rPr>
            </w:pPr>
            <w:r w:rsidRPr="001D1D46">
              <w:rPr>
                <w:rFonts w:ascii="Kalinga" w:hAnsi="Kalinga" w:cs="Kalinga"/>
                <w:color w:val="000000"/>
                <w:lang w:val="de-DE"/>
              </w:rPr>
              <w:t>(€132m: 2012)</w:t>
            </w:r>
          </w:p>
        </w:tc>
        <w:tc>
          <w:tcPr>
            <w:tcW w:w="3256" w:type="dxa"/>
            <w:tcBorders>
              <w:top w:val="nil"/>
              <w:left w:val="nil"/>
              <w:bottom w:val="nil"/>
              <w:right w:val="nil"/>
            </w:tcBorders>
            <w:shd w:val="clear" w:color="auto" w:fill="auto"/>
            <w:noWrap/>
            <w:vAlign w:val="bottom"/>
            <w:hideMark/>
          </w:tcPr>
          <w:p w:rsidR="00487807" w:rsidRPr="001D1D46" w:rsidRDefault="00487807" w:rsidP="005A6FE0">
            <w:pPr>
              <w:rPr>
                <w:rFonts w:ascii="Kalinga" w:hAnsi="Kalinga" w:cs="Kalinga"/>
                <w:color w:val="000000"/>
                <w:lang w:val="de-DE"/>
              </w:rPr>
            </w:pPr>
            <w:r w:rsidRPr="001D1D46">
              <w:rPr>
                <w:rFonts w:ascii="Kalinga" w:hAnsi="Kalinga" w:cs="Kalinga"/>
                <w:color w:val="000000"/>
                <w:lang w:val="de-DE"/>
              </w:rPr>
              <w:t>(€68m: 2012)</w:t>
            </w:r>
          </w:p>
        </w:tc>
        <w:tc>
          <w:tcPr>
            <w:tcW w:w="2693" w:type="dxa"/>
            <w:tcBorders>
              <w:top w:val="nil"/>
              <w:left w:val="nil"/>
              <w:bottom w:val="nil"/>
              <w:right w:val="nil"/>
            </w:tcBorders>
            <w:shd w:val="clear" w:color="auto" w:fill="auto"/>
            <w:noWrap/>
            <w:vAlign w:val="bottom"/>
            <w:hideMark/>
          </w:tcPr>
          <w:p w:rsidR="00487807" w:rsidRPr="001D1D46" w:rsidRDefault="00487807" w:rsidP="005A6FE0">
            <w:pPr>
              <w:rPr>
                <w:rFonts w:ascii="Kalinga" w:hAnsi="Kalinga" w:cs="Kalinga"/>
                <w:color w:val="000000"/>
                <w:lang w:val="de-DE"/>
              </w:rPr>
            </w:pPr>
            <w:r w:rsidRPr="001D1D46">
              <w:rPr>
                <w:rFonts w:ascii="Kalinga" w:hAnsi="Kalinga" w:cs="Kalinga"/>
                <w:color w:val="000000"/>
                <w:lang w:val="de-DE"/>
              </w:rPr>
              <w:t>(€64m: 2012)</w:t>
            </w:r>
          </w:p>
        </w:tc>
      </w:tr>
      <w:tr w:rsidR="00487807" w:rsidRPr="001D1D46" w:rsidTr="005A6FE0">
        <w:trPr>
          <w:trHeight w:val="300"/>
        </w:trPr>
        <w:tc>
          <w:tcPr>
            <w:tcW w:w="3265" w:type="dxa"/>
            <w:tcBorders>
              <w:top w:val="nil"/>
              <w:left w:val="nil"/>
              <w:bottom w:val="nil"/>
              <w:right w:val="nil"/>
            </w:tcBorders>
            <w:shd w:val="clear" w:color="auto" w:fill="auto"/>
            <w:noWrap/>
            <w:vAlign w:val="bottom"/>
            <w:hideMark/>
          </w:tcPr>
          <w:p w:rsidR="00487807" w:rsidRPr="001D1D46" w:rsidRDefault="00487807" w:rsidP="005A6FE0">
            <w:pPr>
              <w:rPr>
                <w:rFonts w:ascii="Times New Roman" w:hAnsi="Times New Roman" w:cs="Times New Roman"/>
                <w:sz w:val="20"/>
                <w:szCs w:val="20"/>
                <w:lang w:val="de-DE"/>
              </w:rPr>
            </w:pPr>
          </w:p>
        </w:tc>
        <w:tc>
          <w:tcPr>
            <w:tcW w:w="3256" w:type="dxa"/>
            <w:tcBorders>
              <w:top w:val="nil"/>
              <w:left w:val="nil"/>
              <w:bottom w:val="nil"/>
              <w:right w:val="nil"/>
            </w:tcBorders>
            <w:shd w:val="clear" w:color="auto" w:fill="auto"/>
            <w:noWrap/>
            <w:vAlign w:val="bottom"/>
            <w:hideMark/>
          </w:tcPr>
          <w:p w:rsidR="00487807" w:rsidRPr="001D1D46" w:rsidRDefault="00487807" w:rsidP="005A6FE0">
            <w:pPr>
              <w:rPr>
                <w:rFonts w:ascii="Times New Roman" w:hAnsi="Times New Roman" w:cs="Times New Roman"/>
                <w:sz w:val="20"/>
                <w:szCs w:val="20"/>
                <w:lang w:val="de-DE"/>
              </w:rPr>
            </w:pPr>
          </w:p>
        </w:tc>
        <w:tc>
          <w:tcPr>
            <w:tcW w:w="2693" w:type="dxa"/>
            <w:tcBorders>
              <w:top w:val="nil"/>
              <w:left w:val="nil"/>
              <w:bottom w:val="nil"/>
              <w:right w:val="nil"/>
            </w:tcBorders>
            <w:shd w:val="clear" w:color="auto" w:fill="auto"/>
            <w:noWrap/>
            <w:vAlign w:val="bottom"/>
            <w:hideMark/>
          </w:tcPr>
          <w:p w:rsidR="00487807" w:rsidRPr="001D1D46" w:rsidRDefault="00487807" w:rsidP="005A6FE0">
            <w:pPr>
              <w:rPr>
                <w:rFonts w:ascii="Times New Roman" w:hAnsi="Times New Roman" w:cs="Times New Roman"/>
                <w:sz w:val="20"/>
                <w:szCs w:val="20"/>
                <w:lang w:val="de-DE"/>
              </w:rPr>
            </w:pPr>
          </w:p>
        </w:tc>
      </w:tr>
      <w:tr w:rsidR="00487807" w:rsidRPr="001D1D46" w:rsidTr="005A6FE0">
        <w:trPr>
          <w:trHeight w:val="300"/>
        </w:trPr>
        <w:tc>
          <w:tcPr>
            <w:tcW w:w="3265" w:type="dxa"/>
            <w:tcBorders>
              <w:top w:val="single" w:sz="4" w:space="0" w:color="auto"/>
              <w:left w:val="nil"/>
              <w:bottom w:val="nil"/>
              <w:right w:val="nil"/>
            </w:tcBorders>
            <w:shd w:val="clear" w:color="auto" w:fill="auto"/>
            <w:noWrap/>
            <w:vAlign w:val="bottom"/>
            <w:hideMark/>
          </w:tcPr>
          <w:p w:rsidR="00487807" w:rsidRPr="001D1D46" w:rsidRDefault="00487807" w:rsidP="005A6FE0">
            <w:pPr>
              <w:rPr>
                <w:color w:val="0070C0"/>
                <w:lang w:val="de-DE"/>
              </w:rPr>
            </w:pPr>
            <w:r w:rsidRPr="001D1D46">
              <w:rPr>
                <w:color w:val="0070C0"/>
                <w:lang w:val="de-DE"/>
              </w:rPr>
              <w:t>MITARBEITER</w:t>
            </w:r>
          </w:p>
        </w:tc>
        <w:tc>
          <w:tcPr>
            <w:tcW w:w="3256" w:type="dxa"/>
            <w:tcBorders>
              <w:top w:val="single" w:sz="4" w:space="0" w:color="auto"/>
              <w:left w:val="nil"/>
              <w:bottom w:val="nil"/>
              <w:right w:val="nil"/>
            </w:tcBorders>
            <w:shd w:val="clear" w:color="auto" w:fill="auto"/>
            <w:noWrap/>
            <w:vAlign w:val="bottom"/>
            <w:hideMark/>
          </w:tcPr>
          <w:p w:rsidR="00487807" w:rsidRPr="001D1D46" w:rsidRDefault="00487807" w:rsidP="007D1886">
            <w:pPr>
              <w:rPr>
                <w:color w:val="0070C0"/>
                <w:lang w:val="de-DE"/>
              </w:rPr>
            </w:pPr>
            <w:r w:rsidRPr="001D1D46">
              <w:rPr>
                <w:color w:val="0070C0"/>
                <w:lang w:val="de-DE"/>
              </w:rPr>
              <w:t>NEUAN</w:t>
            </w:r>
            <w:r w:rsidR="007D1886">
              <w:rPr>
                <w:color w:val="0070C0"/>
                <w:lang w:val="de-DE"/>
              </w:rPr>
              <w:t>FÄNGER</w:t>
            </w:r>
          </w:p>
        </w:tc>
        <w:tc>
          <w:tcPr>
            <w:tcW w:w="2693" w:type="dxa"/>
            <w:tcBorders>
              <w:top w:val="single" w:sz="4" w:space="0" w:color="auto"/>
              <w:left w:val="nil"/>
              <w:bottom w:val="nil"/>
              <w:right w:val="nil"/>
            </w:tcBorders>
            <w:shd w:val="clear" w:color="auto" w:fill="auto"/>
            <w:noWrap/>
            <w:vAlign w:val="bottom"/>
            <w:hideMark/>
          </w:tcPr>
          <w:p w:rsidR="00487807" w:rsidRPr="001D1D46" w:rsidRDefault="00487807" w:rsidP="005A6FE0">
            <w:pPr>
              <w:rPr>
                <w:color w:val="0070C0"/>
                <w:lang w:val="de-DE"/>
              </w:rPr>
            </w:pPr>
            <w:r w:rsidRPr="001D1D46">
              <w:rPr>
                <w:color w:val="0070C0"/>
                <w:lang w:val="de-DE"/>
              </w:rPr>
              <w:t>BEFöRDERUNGEN</w:t>
            </w:r>
          </w:p>
        </w:tc>
      </w:tr>
      <w:tr w:rsidR="00487807" w:rsidRPr="001D1D46" w:rsidTr="005A6FE0">
        <w:trPr>
          <w:trHeight w:val="900"/>
        </w:trPr>
        <w:tc>
          <w:tcPr>
            <w:tcW w:w="3265" w:type="dxa"/>
            <w:tcBorders>
              <w:top w:val="nil"/>
              <w:left w:val="nil"/>
              <w:bottom w:val="nil"/>
              <w:right w:val="nil"/>
            </w:tcBorders>
            <w:shd w:val="clear" w:color="auto" w:fill="auto"/>
            <w:noWrap/>
            <w:vAlign w:val="bottom"/>
            <w:hideMark/>
          </w:tcPr>
          <w:p w:rsidR="00487807" w:rsidRPr="001D1D46" w:rsidRDefault="00487807" w:rsidP="005A6FE0">
            <w:pPr>
              <w:rPr>
                <w:rFonts w:ascii="Kalinga" w:hAnsi="Kalinga" w:cs="Kalinga"/>
                <w:color w:val="000000"/>
                <w:sz w:val="56"/>
                <w:szCs w:val="56"/>
                <w:lang w:val="de-DE"/>
              </w:rPr>
            </w:pPr>
            <w:r w:rsidRPr="001D1D46">
              <w:rPr>
                <w:rFonts w:ascii="Kalinga" w:hAnsi="Kalinga" w:cs="Kalinga"/>
                <w:color w:val="000000"/>
                <w:sz w:val="56"/>
                <w:szCs w:val="56"/>
                <w:lang w:val="de-DE"/>
              </w:rPr>
              <w:t>1 199</w:t>
            </w:r>
          </w:p>
        </w:tc>
        <w:tc>
          <w:tcPr>
            <w:tcW w:w="3256" w:type="dxa"/>
            <w:tcBorders>
              <w:top w:val="nil"/>
              <w:left w:val="nil"/>
              <w:bottom w:val="nil"/>
              <w:right w:val="nil"/>
            </w:tcBorders>
            <w:shd w:val="clear" w:color="auto" w:fill="auto"/>
            <w:noWrap/>
            <w:vAlign w:val="bottom"/>
            <w:hideMark/>
          </w:tcPr>
          <w:p w:rsidR="00487807" w:rsidRPr="001D1D46" w:rsidRDefault="00487807" w:rsidP="005A6FE0">
            <w:pPr>
              <w:rPr>
                <w:rFonts w:ascii="Kalinga" w:hAnsi="Kalinga" w:cs="Kalinga"/>
                <w:color w:val="000000"/>
                <w:sz w:val="56"/>
                <w:szCs w:val="56"/>
                <w:lang w:val="de-DE"/>
              </w:rPr>
            </w:pPr>
            <w:r w:rsidRPr="001D1D46">
              <w:rPr>
                <w:rFonts w:ascii="Kalinga" w:hAnsi="Kalinga" w:cs="Kalinga"/>
                <w:color w:val="000000"/>
                <w:sz w:val="56"/>
                <w:szCs w:val="56"/>
                <w:lang w:val="de-DE"/>
              </w:rPr>
              <w:t>293</w:t>
            </w:r>
          </w:p>
        </w:tc>
        <w:tc>
          <w:tcPr>
            <w:tcW w:w="2693" w:type="dxa"/>
            <w:tcBorders>
              <w:top w:val="nil"/>
              <w:left w:val="nil"/>
              <w:bottom w:val="nil"/>
              <w:right w:val="nil"/>
            </w:tcBorders>
            <w:shd w:val="clear" w:color="auto" w:fill="auto"/>
            <w:noWrap/>
            <w:vAlign w:val="bottom"/>
            <w:hideMark/>
          </w:tcPr>
          <w:p w:rsidR="00487807" w:rsidRPr="001D1D46" w:rsidRDefault="00487807" w:rsidP="005A6FE0">
            <w:pPr>
              <w:rPr>
                <w:rFonts w:ascii="Kalinga" w:hAnsi="Kalinga" w:cs="Kalinga"/>
                <w:color w:val="000000"/>
                <w:sz w:val="56"/>
                <w:szCs w:val="56"/>
                <w:lang w:val="de-DE"/>
              </w:rPr>
            </w:pPr>
            <w:r w:rsidRPr="001D1D46">
              <w:rPr>
                <w:rFonts w:ascii="Kalinga" w:hAnsi="Kalinga" w:cs="Kalinga"/>
                <w:color w:val="000000"/>
                <w:sz w:val="56"/>
                <w:szCs w:val="56"/>
                <w:lang w:val="de-DE"/>
              </w:rPr>
              <w:t>291</w:t>
            </w:r>
          </w:p>
        </w:tc>
      </w:tr>
      <w:tr w:rsidR="00487807" w:rsidRPr="001D1D46" w:rsidTr="005A6FE0">
        <w:trPr>
          <w:trHeight w:val="360"/>
        </w:trPr>
        <w:tc>
          <w:tcPr>
            <w:tcW w:w="3265" w:type="dxa"/>
            <w:tcBorders>
              <w:top w:val="nil"/>
              <w:left w:val="nil"/>
              <w:bottom w:val="nil"/>
              <w:right w:val="nil"/>
            </w:tcBorders>
            <w:shd w:val="clear" w:color="auto" w:fill="auto"/>
            <w:noWrap/>
            <w:vAlign w:val="bottom"/>
            <w:hideMark/>
          </w:tcPr>
          <w:p w:rsidR="00487807" w:rsidRPr="001D1D46" w:rsidRDefault="00487807" w:rsidP="00487807">
            <w:pPr>
              <w:rPr>
                <w:rFonts w:ascii="Kalinga" w:hAnsi="Kalinga" w:cs="Kalinga"/>
                <w:color w:val="000000"/>
                <w:lang w:val="de-DE"/>
              </w:rPr>
            </w:pPr>
            <w:r w:rsidRPr="001D1D46">
              <w:rPr>
                <w:rFonts w:ascii="Kalinga" w:hAnsi="Kalinga" w:cs="Kalinga"/>
                <w:color w:val="000000"/>
                <w:lang w:val="de-DE"/>
              </w:rPr>
              <w:t>December 2013</w:t>
            </w:r>
          </w:p>
        </w:tc>
        <w:tc>
          <w:tcPr>
            <w:tcW w:w="3256" w:type="dxa"/>
            <w:tcBorders>
              <w:top w:val="nil"/>
              <w:left w:val="nil"/>
              <w:bottom w:val="nil"/>
              <w:right w:val="nil"/>
            </w:tcBorders>
            <w:shd w:val="clear" w:color="auto" w:fill="auto"/>
            <w:noWrap/>
            <w:vAlign w:val="bottom"/>
            <w:hideMark/>
          </w:tcPr>
          <w:p w:rsidR="00487807" w:rsidRPr="001D1D46" w:rsidRDefault="00487807" w:rsidP="005A6FE0">
            <w:pPr>
              <w:rPr>
                <w:rFonts w:ascii="Kalinga" w:hAnsi="Kalinga" w:cs="Kalinga"/>
                <w:color w:val="000000"/>
                <w:lang w:val="de-DE"/>
              </w:rPr>
            </w:pPr>
            <w:r w:rsidRPr="001D1D46">
              <w:rPr>
                <w:rFonts w:ascii="Kalinga" w:hAnsi="Kalinga" w:cs="Kalinga"/>
                <w:color w:val="000000"/>
                <w:lang w:val="de-DE"/>
              </w:rPr>
              <w:t>September/Oktober 2013</w:t>
            </w:r>
          </w:p>
        </w:tc>
        <w:tc>
          <w:tcPr>
            <w:tcW w:w="2693" w:type="dxa"/>
            <w:tcBorders>
              <w:top w:val="nil"/>
              <w:left w:val="nil"/>
              <w:bottom w:val="nil"/>
              <w:right w:val="nil"/>
            </w:tcBorders>
            <w:shd w:val="clear" w:color="auto" w:fill="auto"/>
            <w:noWrap/>
            <w:vAlign w:val="bottom"/>
            <w:hideMark/>
          </w:tcPr>
          <w:p w:rsidR="00487807" w:rsidRPr="001D1D46" w:rsidRDefault="00487807" w:rsidP="005A6FE0">
            <w:pPr>
              <w:rPr>
                <w:rFonts w:ascii="Kalinga" w:hAnsi="Kalinga" w:cs="Kalinga"/>
                <w:color w:val="000000"/>
                <w:lang w:val="de-DE"/>
              </w:rPr>
            </w:pPr>
            <w:r w:rsidRPr="001D1D46">
              <w:rPr>
                <w:rFonts w:ascii="Kalinga" w:hAnsi="Kalinga" w:cs="Kalinga"/>
                <w:color w:val="000000"/>
                <w:lang w:val="de-DE"/>
              </w:rPr>
              <w:t>Oktober 2013</w:t>
            </w:r>
          </w:p>
        </w:tc>
      </w:tr>
      <w:tr w:rsidR="00487807" w:rsidRPr="001D1D46" w:rsidTr="005A6FE0">
        <w:trPr>
          <w:trHeight w:val="300"/>
        </w:trPr>
        <w:tc>
          <w:tcPr>
            <w:tcW w:w="3265" w:type="dxa"/>
            <w:tcBorders>
              <w:top w:val="nil"/>
              <w:left w:val="nil"/>
              <w:bottom w:val="nil"/>
              <w:right w:val="nil"/>
            </w:tcBorders>
            <w:shd w:val="clear" w:color="auto" w:fill="auto"/>
            <w:noWrap/>
            <w:vAlign w:val="bottom"/>
            <w:hideMark/>
          </w:tcPr>
          <w:p w:rsidR="00487807" w:rsidRPr="001D1D46" w:rsidRDefault="00487807" w:rsidP="005A6FE0">
            <w:pPr>
              <w:rPr>
                <w:rFonts w:ascii="Kalinga" w:hAnsi="Kalinga" w:cs="Kalinga"/>
                <w:color w:val="000000"/>
                <w:lang w:val="de-DE"/>
              </w:rPr>
            </w:pPr>
          </w:p>
        </w:tc>
        <w:tc>
          <w:tcPr>
            <w:tcW w:w="3256" w:type="dxa"/>
            <w:tcBorders>
              <w:top w:val="nil"/>
              <w:left w:val="nil"/>
              <w:bottom w:val="nil"/>
              <w:right w:val="nil"/>
            </w:tcBorders>
            <w:shd w:val="clear" w:color="auto" w:fill="auto"/>
            <w:noWrap/>
            <w:vAlign w:val="bottom"/>
            <w:hideMark/>
          </w:tcPr>
          <w:p w:rsidR="00487807" w:rsidRPr="001D1D46" w:rsidRDefault="00487807" w:rsidP="005A6FE0">
            <w:pPr>
              <w:rPr>
                <w:rFonts w:ascii="Times New Roman" w:hAnsi="Times New Roman" w:cs="Times New Roman"/>
                <w:sz w:val="20"/>
                <w:szCs w:val="20"/>
                <w:lang w:val="de-DE"/>
              </w:rPr>
            </w:pPr>
          </w:p>
        </w:tc>
        <w:tc>
          <w:tcPr>
            <w:tcW w:w="2693" w:type="dxa"/>
            <w:tcBorders>
              <w:top w:val="nil"/>
              <w:left w:val="nil"/>
              <w:bottom w:val="nil"/>
              <w:right w:val="nil"/>
            </w:tcBorders>
            <w:shd w:val="clear" w:color="auto" w:fill="auto"/>
            <w:noWrap/>
            <w:vAlign w:val="bottom"/>
            <w:hideMark/>
          </w:tcPr>
          <w:p w:rsidR="00487807" w:rsidRPr="001D1D46" w:rsidRDefault="00487807" w:rsidP="005A6FE0">
            <w:pPr>
              <w:rPr>
                <w:rFonts w:ascii="Times New Roman" w:hAnsi="Times New Roman" w:cs="Times New Roman"/>
                <w:sz w:val="20"/>
                <w:szCs w:val="20"/>
                <w:lang w:val="de-DE"/>
              </w:rPr>
            </w:pPr>
          </w:p>
        </w:tc>
      </w:tr>
      <w:tr w:rsidR="00487807" w:rsidRPr="001D1D46" w:rsidTr="005A6FE0">
        <w:trPr>
          <w:trHeight w:val="300"/>
        </w:trPr>
        <w:tc>
          <w:tcPr>
            <w:tcW w:w="3265" w:type="dxa"/>
            <w:tcBorders>
              <w:top w:val="single" w:sz="4" w:space="0" w:color="auto"/>
              <w:left w:val="nil"/>
              <w:bottom w:val="nil"/>
              <w:right w:val="nil"/>
            </w:tcBorders>
            <w:shd w:val="clear" w:color="auto" w:fill="auto"/>
            <w:noWrap/>
            <w:vAlign w:val="bottom"/>
            <w:hideMark/>
          </w:tcPr>
          <w:p w:rsidR="00487807" w:rsidRPr="001D1D46" w:rsidRDefault="00487807" w:rsidP="005A6FE0">
            <w:pPr>
              <w:rPr>
                <w:color w:val="0070C0"/>
                <w:lang w:val="de-DE"/>
              </w:rPr>
            </w:pPr>
            <w:r w:rsidRPr="001D1D46">
              <w:rPr>
                <w:color w:val="0070C0"/>
                <w:lang w:val="de-DE"/>
              </w:rPr>
              <w:t>SPENDEN</w:t>
            </w:r>
          </w:p>
        </w:tc>
        <w:tc>
          <w:tcPr>
            <w:tcW w:w="3256" w:type="dxa"/>
            <w:tcBorders>
              <w:top w:val="single" w:sz="4" w:space="0" w:color="auto"/>
              <w:left w:val="nil"/>
              <w:bottom w:val="nil"/>
              <w:right w:val="nil"/>
            </w:tcBorders>
            <w:shd w:val="clear" w:color="auto" w:fill="auto"/>
            <w:noWrap/>
            <w:vAlign w:val="bottom"/>
          </w:tcPr>
          <w:p w:rsidR="00487807" w:rsidRPr="001D1D46" w:rsidRDefault="00487807" w:rsidP="005A6FE0">
            <w:pPr>
              <w:rPr>
                <w:color w:val="0070C0"/>
                <w:lang w:val="de-DE"/>
              </w:rPr>
            </w:pPr>
          </w:p>
        </w:tc>
        <w:tc>
          <w:tcPr>
            <w:tcW w:w="2693" w:type="dxa"/>
            <w:tcBorders>
              <w:top w:val="single" w:sz="4" w:space="0" w:color="auto"/>
              <w:left w:val="nil"/>
              <w:bottom w:val="nil"/>
              <w:right w:val="nil"/>
            </w:tcBorders>
            <w:shd w:val="clear" w:color="auto" w:fill="auto"/>
            <w:noWrap/>
            <w:vAlign w:val="bottom"/>
          </w:tcPr>
          <w:p w:rsidR="00487807" w:rsidRPr="001D1D46" w:rsidRDefault="00487807" w:rsidP="005A6FE0">
            <w:pPr>
              <w:rPr>
                <w:color w:val="0070C0"/>
                <w:lang w:val="de-DE"/>
              </w:rPr>
            </w:pPr>
          </w:p>
        </w:tc>
      </w:tr>
      <w:tr w:rsidR="00487807" w:rsidRPr="001D1D46" w:rsidTr="005A6FE0">
        <w:trPr>
          <w:trHeight w:val="900"/>
        </w:trPr>
        <w:tc>
          <w:tcPr>
            <w:tcW w:w="3265" w:type="dxa"/>
            <w:tcBorders>
              <w:top w:val="nil"/>
              <w:left w:val="nil"/>
              <w:bottom w:val="nil"/>
              <w:right w:val="nil"/>
            </w:tcBorders>
            <w:shd w:val="clear" w:color="auto" w:fill="auto"/>
            <w:noWrap/>
            <w:vAlign w:val="bottom"/>
            <w:hideMark/>
          </w:tcPr>
          <w:p w:rsidR="00487807" w:rsidRPr="001D1D46" w:rsidRDefault="00487807" w:rsidP="005A6FE0">
            <w:pPr>
              <w:rPr>
                <w:rFonts w:ascii="Kalinga" w:hAnsi="Kalinga" w:cs="Kalinga"/>
                <w:color w:val="000000"/>
                <w:sz w:val="56"/>
                <w:szCs w:val="56"/>
                <w:lang w:val="de-DE"/>
              </w:rPr>
            </w:pPr>
            <w:r w:rsidRPr="001D1D46">
              <w:rPr>
                <w:rFonts w:ascii="Kalinga" w:hAnsi="Kalinga" w:cs="Kalinga"/>
                <w:color w:val="000000"/>
                <w:sz w:val="56"/>
                <w:szCs w:val="56"/>
                <w:lang w:val="de-DE"/>
              </w:rPr>
              <w:t>€230K</w:t>
            </w:r>
          </w:p>
        </w:tc>
        <w:tc>
          <w:tcPr>
            <w:tcW w:w="3256" w:type="dxa"/>
            <w:tcBorders>
              <w:top w:val="nil"/>
              <w:left w:val="nil"/>
              <w:bottom w:val="nil"/>
              <w:right w:val="nil"/>
            </w:tcBorders>
            <w:shd w:val="clear" w:color="auto" w:fill="auto"/>
            <w:noWrap/>
            <w:vAlign w:val="bottom"/>
          </w:tcPr>
          <w:p w:rsidR="00487807" w:rsidRPr="001D1D46" w:rsidRDefault="00487807" w:rsidP="005A6FE0">
            <w:pPr>
              <w:rPr>
                <w:rFonts w:ascii="Kalinga" w:hAnsi="Kalinga" w:cs="Kalinga"/>
                <w:color w:val="000000"/>
                <w:sz w:val="56"/>
                <w:szCs w:val="56"/>
                <w:lang w:val="de-DE"/>
              </w:rPr>
            </w:pPr>
          </w:p>
        </w:tc>
        <w:tc>
          <w:tcPr>
            <w:tcW w:w="2693" w:type="dxa"/>
            <w:tcBorders>
              <w:top w:val="nil"/>
              <w:left w:val="nil"/>
              <w:bottom w:val="nil"/>
              <w:right w:val="nil"/>
            </w:tcBorders>
            <w:shd w:val="clear" w:color="auto" w:fill="auto"/>
            <w:noWrap/>
            <w:vAlign w:val="bottom"/>
          </w:tcPr>
          <w:p w:rsidR="00487807" w:rsidRPr="001D1D46" w:rsidRDefault="00487807" w:rsidP="005A6FE0">
            <w:pPr>
              <w:rPr>
                <w:rFonts w:ascii="Kalinga" w:hAnsi="Kalinga" w:cs="Kalinga"/>
                <w:color w:val="000000"/>
                <w:sz w:val="56"/>
                <w:szCs w:val="56"/>
                <w:lang w:val="de-DE"/>
              </w:rPr>
            </w:pPr>
          </w:p>
        </w:tc>
      </w:tr>
      <w:tr w:rsidR="00487807" w:rsidRPr="001D1D46" w:rsidTr="005A6FE0">
        <w:trPr>
          <w:trHeight w:val="360"/>
        </w:trPr>
        <w:tc>
          <w:tcPr>
            <w:tcW w:w="3265" w:type="dxa"/>
            <w:tcBorders>
              <w:top w:val="nil"/>
              <w:left w:val="nil"/>
              <w:bottom w:val="nil"/>
              <w:right w:val="nil"/>
            </w:tcBorders>
            <w:shd w:val="clear" w:color="auto" w:fill="auto"/>
            <w:noWrap/>
            <w:vAlign w:val="bottom"/>
            <w:hideMark/>
          </w:tcPr>
          <w:p w:rsidR="00487807" w:rsidRPr="001D1D46" w:rsidRDefault="00487807" w:rsidP="005A6FE0">
            <w:pPr>
              <w:rPr>
                <w:rFonts w:ascii="Kalinga" w:hAnsi="Kalinga" w:cs="Kalinga"/>
                <w:color w:val="000000"/>
                <w:lang w:val="de-DE"/>
              </w:rPr>
            </w:pPr>
            <w:r w:rsidRPr="001D1D46">
              <w:rPr>
                <w:rFonts w:ascii="Kalinga" w:hAnsi="Kalinga" w:cs="Kalinga"/>
                <w:color w:val="000000"/>
                <w:lang w:val="de-DE"/>
              </w:rPr>
              <w:t>für wohltätige Zwecke</w:t>
            </w:r>
          </w:p>
        </w:tc>
        <w:tc>
          <w:tcPr>
            <w:tcW w:w="3256" w:type="dxa"/>
            <w:tcBorders>
              <w:top w:val="nil"/>
              <w:left w:val="nil"/>
              <w:bottom w:val="nil"/>
              <w:right w:val="nil"/>
            </w:tcBorders>
            <w:shd w:val="clear" w:color="auto" w:fill="auto"/>
            <w:noWrap/>
            <w:vAlign w:val="bottom"/>
          </w:tcPr>
          <w:p w:rsidR="00487807" w:rsidRPr="001D1D46" w:rsidRDefault="00487807" w:rsidP="005A6FE0">
            <w:pPr>
              <w:rPr>
                <w:rFonts w:ascii="Kalinga" w:hAnsi="Kalinga" w:cs="Kalinga"/>
                <w:color w:val="000000"/>
                <w:lang w:val="de-DE"/>
              </w:rPr>
            </w:pPr>
          </w:p>
        </w:tc>
        <w:tc>
          <w:tcPr>
            <w:tcW w:w="2693" w:type="dxa"/>
            <w:tcBorders>
              <w:top w:val="nil"/>
              <w:left w:val="nil"/>
              <w:bottom w:val="nil"/>
              <w:right w:val="nil"/>
            </w:tcBorders>
            <w:shd w:val="clear" w:color="auto" w:fill="auto"/>
            <w:noWrap/>
            <w:vAlign w:val="bottom"/>
          </w:tcPr>
          <w:p w:rsidR="00487807" w:rsidRPr="001D1D46" w:rsidRDefault="00487807" w:rsidP="005A6FE0">
            <w:pPr>
              <w:rPr>
                <w:rFonts w:ascii="Kalinga" w:hAnsi="Kalinga" w:cs="Kalinga"/>
                <w:color w:val="000000"/>
                <w:lang w:val="de-DE"/>
              </w:rPr>
            </w:pPr>
          </w:p>
        </w:tc>
      </w:tr>
    </w:tbl>
    <w:p w:rsidR="00487807" w:rsidRPr="001D1D46" w:rsidRDefault="00487807" w:rsidP="00487807">
      <w:pPr>
        <w:autoSpaceDE w:val="0"/>
        <w:autoSpaceDN w:val="0"/>
        <w:adjustRightInd w:val="0"/>
        <w:rPr>
          <w:rFonts w:ascii="Arial" w:hAnsi="Arial" w:cs="Arial"/>
          <w:b/>
          <w:sz w:val="20"/>
          <w:szCs w:val="20"/>
          <w:lang w:val="de-DE"/>
        </w:rPr>
      </w:pPr>
    </w:p>
    <w:p w:rsidR="00487807" w:rsidRPr="001D1D46" w:rsidRDefault="00487807" w:rsidP="00487807">
      <w:pPr>
        <w:rPr>
          <w:rFonts w:ascii="Kalinga" w:hAnsi="Kalinga" w:cs="Kalinga"/>
          <w:b/>
          <w:color w:val="000000"/>
          <w:lang w:val="de-DE"/>
        </w:rPr>
      </w:pPr>
    </w:p>
    <w:p w:rsidR="00487807" w:rsidRPr="001D1D46" w:rsidRDefault="00305F54" w:rsidP="00487807">
      <w:pPr>
        <w:rPr>
          <w:rFonts w:ascii="Kalinga" w:hAnsi="Kalinga" w:cs="Kalinga"/>
          <w:b/>
          <w:color w:val="000000"/>
          <w:lang w:val="de-DE"/>
        </w:rPr>
      </w:pPr>
      <w:r w:rsidRPr="001D1D46">
        <w:rPr>
          <w:rFonts w:ascii="Kalinga" w:hAnsi="Kalinga" w:cs="Kalinga"/>
          <w:b/>
          <w:color w:val="000000"/>
          <w:lang w:val="de-DE"/>
        </w:rPr>
        <w:t>Folgen Sie KPMG Luxembourg auf</w:t>
      </w:r>
      <w:r w:rsidR="00487807" w:rsidRPr="001D1D46">
        <w:rPr>
          <w:rFonts w:ascii="Kalinga" w:hAnsi="Kalinga" w:cs="Kalinga"/>
          <w:b/>
          <w:color w:val="000000"/>
          <w:lang w:val="de-DE"/>
        </w:rPr>
        <w:t>:</w:t>
      </w:r>
    </w:p>
    <w:p w:rsidR="00487807" w:rsidRPr="001D1D46" w:rsidRDefault="00777DBE" w:rsidP="00487807">
      <w:pPr>
        <w:rPr>
          <w:rFonts w:ascii="Arial" w:hAnsi="Arial" w:cs="Arial"/>
          <w:sz w:val="20"/>
          <w:szCs w:val="20"/>
          <w:lang w:val="de-DE"/>
        </w:rPr>
      </w:pPr>
      <w:r>
        <w:rPr>
          <w:rFonts w:ascii="Verdana" w:hAnsi="Verdana"/>
          <w:noProof/>
          <w:color w:val="007C92"/>
          <w:sz w:val="16"/>
          <w:szCs w:val="16"/>
          <w:lang w:eastAsia="en-US"/>
        </w:rPr>
        <w:drawing>
          <wp:inline distT="0" distB="0" distL="0" distR="0">
            <wp:extent cx="781050" cy="285750"/>
            <wp:effectExtent l="19050" t="0" r="0" b="0"/>
            <wp:docPr id="1" name="Picture 1" descr="http://www.kpmg.com/LU/en/PublishingImages/39-kennedy-avenue-logo-190x70.jp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pmg.com/LU/en/PublishingImages/39-kennedy-avenue-logo-190x70.jpg">
                      <a:hlinkClick r:id="rId9" tgtFrame="&quot;_blank&quot;"/>
                    </pic:cNvPr>
                    <pic:cNvPicPr>
                      <a:picLocks noChangeAspect="1" noChangeArrowheads="1"/>
                    </pic:cNvPicPr>
                  </pic:nvPicPr>
                  <pic:blipFill>
                    <a:blip r:embed="rId10" cstate="print"/>
                    <a:srcRect/>
                    <a:stretch>
                      <a:fillRect/>
                    </a:stretch>
                  </pic:blipFill>
                  <pic:spPr bwMode="auto">
                    <a:xfrm>
                      <a:off x="0" y="0"/>
                      <a:ext cx="781050" cy="285750"/>
                    </a:xfrm>
                    <a:prstGeom prst="rect">
                      <a:avLst/>
                    </a:prstGeom>
                    <a:noFill/>
                    <a:ln w="9525">
                      <a:noFill/>
                      <a:miter lim="800000"/>
                      <a:headEnd/>
                      <a:tailEnd/>
                    </a:ln>
                  </pic:spPr>
                </pic:pic>
              </a:graphicData>
            </a:graphic>
          </wp:inline>
        </w:drawing>
      </w:r>
      <w:r>
        <w:rPr>
          <w:rFonts w:ascii="Arial" w:hAnsi="Arial" w:cs="Arial"/>
          <w:noProof/>
          <w:color w:val="800080"/>
          <w:sz w:val="18"/>
          <w:szCs w:val="18"/>
          <w:lang w:eastAsia="en-US"/>
        </w:rPr>
        <w:drawing>
          <wp:inline distT="0" distB="0" distL="0" distR="0">
            <wp:extent cx="152400" cy="180975"/>
            <wp:effectExtent l="19050" t="0" r="0" b="0"/>
            <wp:docPr id="2" name="Picture 2" descr="image002">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a:hlinkClick r:id="rId11" tgtFrame="_blank"/>
                    </pic:cNvPr>
                    <pic:cNvPicPr>
                      <a:picLocks noChangeAspect="1" noChangeArrowheads="1"/>
                    </pic:cNvPicPr>
                  </pic:nvPicPr>
                  <pic:blipFill>
                    <a:blip r:embed="rId12" cstate="print"/>
                    <a:srcRect/>
                    <a:stretch>
                      <a:fillRect/>
                    </a:stretch>
                  </pic:blipFill>
                  <pic:spPr bwMode="auto">
                    <a:xfrm>
                      <a:off x="0" y="0"/>
                      <a:ext cx="152400" cy="180975"/>
                    </a:xfrm>
                    <a:prstGeom prst="rect">
                      <a:avLst/>
                    </a:prstGeom>
                    <a:noFill/>
                    <a:ln w="9525">
                      <a:noFill/>
                      <a:miter lim="800000"/>
                      <a:headEnd/>
                      <a:tailEnd/>
                    </a:ln>
                  </pic:spPr>
                </pic:pic>
              </a:graphicData>
            </a:graphic>
          </wp:inline>
        </w:drawing>
      </w:r>
      <w:r w:rsidR="00487807" w:rsidRPr="001D1D46">
        <w:rPr>
          <w:rFonts w:ascii="Arial" w:hAnsi="Arial" w:cs="Arial"/>
          <w:noProof/>
          <w:color w:val="1F497D"/>
          <w:sz w:val="18"/>
          <w:szCs w:val="18"/>
          <w:lang w:val="de-DE"/>
        </w:rPr>
        <w:t>  </w:t>
      </w:r>
      <w:r>
        <w:rPr>
          <w:rFonts w:ascii="Arial" w:hAnsi="Arial" w:cs="Arial"/>
          <w:noProof/>
          <w:color w:val="800080"/>
          <w:sz w:val="18"/>
          <w:szCs w:val="18"/>
          <w:lang w:eastAsia="en-US"/>
        </w:rPr>
        <w:drawing>
          <wp:inline distT="0" distB="0" distL="0" distR="0">
            <wp:extent cx="152400" cy="180975"/>
            <wp:effectExtent l="19050" t="0" r="0" b="0"/>
            <wp:docPr id="3" name="Picture 3" descr="image003">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3">
                      <a:hlinkClick r:id="rId13" tgtFrame="_blank"/>
                    </pic:cNvPr>
                    <pic:cNvPicPr>
                      <a:picLocks noChangeAspect="1" noChangeArrowheads="1"/>
                    </pic:cNvPicPr>
                  </pic:nvPicPr>
                  <pic:blipFill>
                    <a:blip r:embed="rId14" cstate="print"/>
                    <a:srcRect/>
                    <a:stretch>
                      <a:fillRect/>
                    </a:stretch>
                  </pic:blipFill>
                  <pic:spPr bwMode="auto">
                    <a:xfrm>
                      <a:off x="0" y="0"/>
                      <a:ext cx="152400" cy="180975"/>
                    </a:xfrm>
                    <a:prstGeom prst="rect">
                      <a:avLst/>
                    </a:prstGeom>
                    <a:noFill/>
                    <a:ln w="9525">
                      <a:noFill/>
                      <a:miter lim="800000"/>
                      <a:headEnd/>
                      <a:tailEnd/>
                    </a:ln>
                  </pic:spPr>
                </pic:pic>
              </a:graphicData>
            </a:graphic>
          </wp:inline>
        </w:drawing>
      </w:r>
      <w:r w:rsidR="00487807" w:rsidRPr="001D1D46">
        <w:rPr>
          <w:rFonts w:ascii="Arial" w:hAnsi="Arial" w:cs="Arial"/>
          <w:noProof/>
          <w:color w:val="1F497D"/>
          <w:sz w:val="18"/>
          <w:szCs w:val="18"/>
          <w:lang w:val="de-DE"/>
        </w:rPr>
        <w:t>  </w:t>
      </w:r>
      <w:r>
        <w:rPr>
          <w:rFonts w:ascii="Arial" w:hAnsi="Arial" w:cs="Arial"/>
          <w:noProof/>
          <w:color w:val="800080"/>
          <w:sz w:val="18"/>
          <w:szCs w:val="18"/>
          <w:lang w:eastAsia="en-US"/>
        </w:rPr>
        <w:drawing>
          <wp:inline distT="0" distB="0" distL="0" distR="0">
            <wp:extent cx="152400" cy="180975"/>
            <wp:effectExtent l="19050" t="0" r="0" b="0"/>
            <wp:docPr id="4" name="Picture 4" descr="image004">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04">
                      <a:hlinkClick r:id="rId15" tgtFrame="_blank"/>
                    </pic:cNvPr>
                    <pic:cNvPicPr>
                      <a:picLocks noChangeAspect="1" noChangeArrowheads="1"/>
                    </pic:cNvPicPr>
                  </pic:nvPicPr>
                  <pic:blipFill>
                    <a:blip r:embed="rId16" cstate="print"/>
                    <a:srcRect/>
                    <a:stretch>
                      <a:fillRect/>
                    </a:stretch>
                  </pic:blipFill>
                  <pic:spPr bwMode="auto">
                    <a:xfrm>
                      <a:off x="0" y="0"/>
                      <a:ext cx="152400" cy="180975"/>
                    </a:xfrm>
                    <a:prstGeom prst="rect">
                      <a:avLst/>
                    </a:prstGeom>
                    <a:noFill/>
                    <a:ln w="9525">
                      <a:noFill/>
                      <a:miter lim="800000"/>
                      <a:headEnd/>
                      <a:tailEnd/>
                    </a:ln>
                  </pic:spPr>
                </pic:pic>
              </a:graphicData>
            </a:graphic>
          </wp:inline>
        </w:drawing>
      </w:r>
      <w:r w:rsidR="00487807" w:rsidRPr="001D1D46">
        <w:rPr>
          <w:rFonts w:ascii="Arial" w:hAnsi="Arial" w:cs="Arial"/>
          <w:noProof/>
          <w:color w:val="1F497D"/>
          <w:sz w:val="18"/>
          <w:szCs w:val="18"/>
          <w:lang w:val="de-DE"/>
        </w:rPr>
        <w:t>  </w:t>
      </w:r>
      <w:r>
        <w:rPr>
          <w:rFonts w:ascii="Arial" w:hAnsi="Arial" w:cs="Arial"/>
          <w:noProof/>
          <w:color w:val="800080"/>
          <w:sz w:val="18"/>
          <w:szCs w:val="18"/>
          <w:lang w:eastAsia="en-US"/>
        </w:rPr>
        <w:drawing>
          <wp:inline distT="0" distB="0" distL="0" distR="0">
            <wp:extent cx="152400" cy="180975"/>
            <wp:effectExtent l="19050" t="0" r="0" b="0"/>
            <wp:docPr id="5" name="Picture 5" descr="image005">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005">
                      <a:hlinkClick r:id="rId17" tgtFrame="_blank"/>
                    </pic:cNvPr>
                    <pic:cNvPicPr>
                      <a:picLocks noChangeAspect="1" noChangeArrowheads="1"/>
                    </pic:cNvPicPr>
                  </pic:nvPicPr>
                  <pic:blipFill>
                    <a:blip r:embed="rId18" cstate="print"/>
                    <a:srcRect/>
                    <a:stretch>
                      <a:fillRect/>
                    </a:stretch>
                  </pic:blipFill>
                  <pic:spPr bwMode="auto">
                    <a:xfrm>
                      <a:off x="0" y="0"/>
                      <a:ext cx="152400" cy="180975"/>
                    </a:xfrm>
                    <a:prstGeom prst="rect">
                      <a:avLst/>
                    </a:prstGeom>
                    <a:noFill/>
                    <a:ln w="9525">
                      <a:noFill/>
                      <a:miter lim="800000"/>
                      <a:headEnd/>
                      <a:tailEnd/>
                    </a:ln>
                  </pic:spPr>
                </pic:pic>
              </a:graphicData>
            </a:graphic>
          </wp:inline>
        </w:drawing>
      </w:r>
      <w:r w:rsidR="00487807" w:rsidRPr="001D1D46">
        <w:rPr>
          <w:rFonts w:ascii="Arial" w:hAnsi="Arial" w:cs="Arial"/>
          <w:noProof/>
          <w:color w:val="1F497D"/>
          <w:sz w:val="18"/>
          <w:szCs w:val="18"/>
          <w:lang w:val="de-DE"/>
        </w:rPr>
        <w:t>  </w:t>
      </w:r>
    </w:p>
    <w:p w:rsidR="00E435C9" w:rsidRPr="001D1D46" w:rsidRDefault="00E435C9" w:rsidP="00E435C9">
      <w:pPr>
        <w:rPr>
          <w:rFonts w:ascii="Arial" w:hAnsi="Arial" w:cs="Arial"/>
          <w:sz w:val="20"/>
          <w:szCs w:val="20"/>
          <w:lang w:val="de-DE"/>
        </w:rPr>
      </w:pPr>
    </w:p>
    <w:p w:rsidR="00E435C9" w:rsidRPr="001D1D46" w:rsidRDefault="00E435C9" w:rsidP="00E435C9">
      <w:pPr>
        <w:rPr>
          <w:rFonts w:ascii="Arial" w:hAnsi="Arial" w:cs="Arial"/>
          <w:sz w:val="20"/>
          <w:szCs w:val="20"/>
          <w:lang w:val="de-DE"/>
        </w:rPr>
      </w:pPr>
    </w:p>
    <w:p w:rsidR="00E435C9" w:rsidRPr="001D1D46" w:rsidRDefault="00E435C9" w:rsidP="00E435C9">
      <w:pPr>
        <w:rPr>
          <w:rFonts w:ascii="Arial" w:hAnsi="Arial" w:cs="Arial"/>
          <w:sz w:val="20"/>
          <w:szCs w:val="20"/>
          <w:lang w:val="de-DE"/>
        </w:rPr>
      </w:pPr>
    </w:p>
    <w:p w:rsidR="00E435C9" w:rsidRPr="001D1D46" w:rsidRDefault="00E435C9" w:rsidP="00E435C9">
      <w:pPr>
        <w:rPr>
          <w:rFonts w:ascii="Arial" w:hAnsi="Arial" w:cs="Arial"/>
          <w:sz w:val="20"/>
          <w:szCs w:val="20"/>
          <w:lang w:val="de-DE"/>
        </w:rPr>
      </w:pPr>
    </w:p>
    <w:p w:rsidR="00E435C9" w:rsidRPr="001D1D46" w:rsidRDefault="00E435C9" w:rsidP="00E435C9">
      <w:pPr>
        <w:rPr>
          <w:rFonts w:ascii="Arial" w:hAnsi="Arial" w:cs="Arial"/>
          <w:sz w:val="20"/>
          <w:szCs w:val="20"/>
          <w:lang w:val="de-DE"/>
        </w:rPr>
      </w:pPr>
    </w:p>
    <w:p w:rsidR="00E435C9" w:rsidRPr="001D1D46" w:rsidRDefault="00E435C9" w:rsidP="00E435C9">
      <w:pPr>
        <w:rPr>
          <w:rFonts w:ascii="Arial" w:hAnsi="Arial" w:cs="Arial"/>
          <w:sz w:val="20"/>
          <w:szCs w:val="20"/>
          <w:lang w:val="de-DE"/>
        </w:rPr>
      </w:pPr>
    </w:p>
    <w:p w:rsidR="00E435C9" w:rsidRPr="001D1D46" w:rsidRDefault="00E435C9" w:rsidP="00E435C9">
      <w:pPr>
        <w:jc w:val="center"/>
        <w:rPr>
          <w:rFonts w:ascii="Arial" w:hAnsi="Arial" w:cs="Arial"/>
          <w:sz w:val="20"/>
          <w:szCs w:val="20"/>
          <w:lang w:val="de-DE"/>
        </w:rPr>
      </w:pPr>
    </w:p>
    <w:p w:rsidR="007578F5" w:rsidRPr="00F05BCF" w:rsidRDefault="007578F5" w:rsidP="007578F5">
      <w:pPr>
        <w:rPr>
          <w:b/>
          <w:u w:val="single"/>
          <w:lang w:val="de-CH"/>
        </w:rPr>
      </w:pPr>
      <w:r w:rsidRPr="00F05BCF">
        <w:rPr>
          <w:rFonts w:ascii="Arial" w:hAnsi="Arial" w:cs="Arial"/>
          <w:b/>
          <w:sz w:val="20"/>
          <w:szCs w:val="20"/>
          <w:u w:val="single"/>
          <w:lang w:val="de-CH"/>
        </w:rPr>
        <w:t>Pressekontakt</w:t>
      </w:r>
      <w:r w:rsidRPr="00F05BCF">
        <w:rPr>
          <w:rFonts w:ascii="Arial" w:hAnsi="Arial" w:cs="Arial"/>
          <w:b/>
          <w:sz w:val="20"/>
          <w:szCs w:val="20"/>
          <w:u w:val="single"/>
          <w:lang w:val="de-CH"/>
        </w:rPr>
        <w:br/>
      </w:r>
    </w:p>
    <w:p w:rsidR="007578F5" w:rsidRDefault="007578F5" w:rsidP="007578F5">
      <w:pPr>
        <w:rPr>
          <w:rFonts w:ascii="Arial" w:hAnsi="Arial" w:cs="Arial"/>
          <w:sz w:val="20"/>
          <w:szCs w:val="20"/>
          <w:lang w:val="de-CH"/>
        </w:rPr>
      </w:pPr>
      <w:r>
        <w:rPr>
          <w:rFonts w:ascii="Arial" w:hAnsi="Arial" w:cs="Arial"/>
          <w:sz w:val="20"/>
          <w:szCs w:val="20"/>
          <w:lang w:val="de-CH"/>
        </w:rPr>
        <w:t>Geneviève Feyt</w:t>
      </w:r>
    </w:p>
    <w:p w:rsidR="007578F5" w:rsidRPr="00F05BCF" w:rsidRDefault="007578F5" w:rsidP="007578F5">
      <w:pPr>
        <w:rPr>
          <w:lang w:val="de-CH"/>
        </w:rPr>
      </w:pPr>
      <w:r w:rsidRPr="00F05BCF">
        <w:rPr>
          <w:rFonts w:ascii="Arial" w:hAnsi="Arial" w:cs="Arial"/>
          <w:sz w:val="20"/>
          <w:szCs w:val="20"/>
          <w:lang w:val="de-CH"/>
        </w:rPr>
        <w:t>Tel: 22 51 51 2903</w:t>
      </w:r>
      <w:r w:rsidRPr="00F05BCF">
        <w:rPr>
          <w:rFonts w:ascii="Arial" w:hAnsi="Arial" w:cs="Arial"/>
          <w:sz w:val="20"/>
          <w:szCs w:val="20"/>
          <w:lang w:val="de-CH"/>
        </w:rPr>
        <w:br/>
        <w:t>Handy: 621 87 2903</w:t>
      </w:r>
      <w:r w:rsidRPr="00F05BCF">
        <w:rPr>
          <w:rFonts w:ascii="Arial" w:hAnsi="Arial" w:cs="Arial"/>
          <w:sz w:val="20"/>
          <w:szCs w:val="20"/>
          <w:lang w:val="de-CH"/>
        </w:rPr>
        <w:br/>
        <w:t>E-mail:</w:t>
      </w:r>
      <w:r w:rsidRPr="00F05BCF">
        <w:rPr>
          <w:rStyle w:val="apple-converted-space"/>
          <w:rFonts w:ascii="Arial" w:hAnsi="Arial" w:cs="Arial"/>
          <w:sz w:val="20"/>
          <w:szCs w:val="20"/>
          <w:lang w:val="de-CH"/>
        </w:rPr>
        <w:t> </w:t>
      </w:r>
      <w:hyperlink r:id="rId19" w:history="1">
        <w:r w:rsidRPr="00F05BCF">
          <w:rPr>
            <w:rStyle w:val="Hyperlink"/>
            <w:rFonts w:ascii="Arial" w:hAnsi="Arial" w:cs="Arial"/>
            <w:sz w:val="20"/>
            <w:szCs w:val="20"/>
            <w:lang w:val="de-CH"/>
          </w:rPr>
          <w:t>genevieve.feyt@kpmg.lu</w:t>
        </w:r>
      </w:hyperlink>
    </w:p>
    <w:p w:rsidR="00A64796" w:rsidRPr="001D1D46" w:rsidRDefault="00A64796">
      <w:pPr>
        <w:rPr>
          <w:lang w:val="de-DE"/>
        </w:rPr>
      </w:pPr>
    </w:p>
    <w:sectPr w:rsidR="00A64796" w:rsidRPr="001D1D46" w:rsidSect="004E4FD1">
      <w:footerReference w:type="default" r:id="rId20"/>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00C" w:rsidRDefault="00B8600C" w:rsidP="00E21EE0">
      <w:r>
        <w:separator/>
      </w:r>
    </w:p>
  </w:endnote>
  <w:endnote w:type="continuationSeparator" w:id="0">
    <w:p w:rsidR="00B8600C" w:rsidRDefault="00B8600C" w:rsidP="00E21E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Kalinga">
    <w:panose1 w:val="020B0502040204020203"/>
    <w:charset w:val="00"/>
    <w:family w:val="swiss"/>
    <w:pitch w:val="variable"/>
    <w:sig w:usb0="0008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38633"/>
      <w:docPartObj>
        <w:docPartGallery w:val="Page Numbers (Bottom of Page)"/>
        <w:docPartUnique/>
      </w:docPartObj>
    </w:sdtPr>
    <w:sdtContent>
      <w:p w:rsidR="00E21EE0" w:rsidRDefault="000C3092">
        <w:pPr>
          <w:pStyle w:val="Footer"/>
          <w:jc w:val="right"/>
        </w:pPr>
        <w:r>
          <w:fldChar w:fldCharType="begin"/>
        </w:r>
        <w:r w:rsidR="00B05B71">
          <w:instrText xml:space="preserve"> PAGE   \* MERGEFORMAT </w:instrText>
        </w:r>
        <w:r>
          <w:fldChar w:fldCharType="separate"/>
        </w:r>
        <w:r w:rsidR="008912A6">
          <w:rPr>
            <w:noProof/>
          </w:rPr>
          <w:t>3</w:t>
        </w:r>
        <w:r>
          <w:rPr>
            <w:noProof/>
          </w:rPr>
          <w:fldChar w:fldCharType="end"/>
        </w:r>
      </w:p>
    </w:sdtContent>
  </w:sdt>
  <w:p w:rsidR="00E21EE0" w:rsidRDefault="00E21E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00C" w:rsidRDefault="00B8600C" w:rsidP="00E21EE0">
      <w:r>
        <w:separator/>
      </w:r>
    </w:p>
  </w:footnote>
  <w:footnote w:type="continuationSeparator" w:id="0">
    <w:p w:rsidR="00B8600C" w:rsidRDefault="00B8600C" w:rsidP="00E21E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95A81"/>
    <w:multiLevelType w:val="hybridMultilevel"/>
    <w:tmpl w:val="0394B5EC"/>
    <w:lvl w:ilvl="0" w:tplc="5EA68CAC">
      <w:numFmt w:val="bullet"/>
      <w:lvlText w:val="-"/>
      <w:lvlJc w:val="left"/>
      <w:pPr>
        <w:ind w:left="390" w:hanging="360"/>
      </w:pPr>
      <w:rPr>
        <w:rFonts w:ascii="Calibri" w:eastAsia="Times New Roman" w:hAnsi="Calibri" w:cs="Calibri"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435C9"/>
    <w:rsid w:val="000332DC"/>
    <w:rsid w:val="0004530D"/>
    <w:rsid w:val="0005116F"/>
    <w:rsid w:val="00052891"/>
    <w:rsid w:val="0007177F"/>
    <w:rsid w:val="000A2A48"/>
    <w:rsid w:val="000A7774"/>
    <w:rsid w:val="000B60C4"/>
    <w:rsid w:val="000C3092"/>
    <w:rsid w:val="00173CC7"/>
    <w:rsid w:val="001B0987"/>
    <w:rsid w:val="001D1D46"/>
    <w:rsid w:val="00216F4C"/>
    <w:rsid w:val="002550AF"/>
    <w:rsid w:val="002C0096"/>
    <w:rsid w:val="002D7E2C"/>
    <w:rsid w:val="00305C36"/>
    <w:rsid w:val="00305F54"/>
    <w:rsid w:val="003542B2"/>
    <w:rsid w:val="00422175"/>
    <w:rsid w:val="00436CA5"/>
    <w:rsid w:val="00487807"/>
    <w:rsid w:val="004E7E90"/>
    <w:rsid w:val="00571795"/>
    <w:rsid w:val="005D75F8"/>
    <w:rsid w:val="005F76A9"/>
    <w:rsid w:val="00644D8E"/>
    <w:rsid w:val="00725968"/>
    <w:rsid w:val="007316F3"/>
    <w:rsid w:val="00737AB8"/>
    <w:rsid w:val="007578F5"/>
    <w:rsid w:val="00777DBE"/>
    <w:rsid w:val="007A545A"/>
    <w:rsid w:val="007D1886"/>
    <w:rsid w:val="007F7701"/>
    <w:rsid w:val="008912A6"/>
    <w:rsid w:val="008B456F"/>
    <w:rsid w:val="00922761"/>
    <w:rsid w:val="00924C10"/>
    <w:rsid w:val="00946867"/>
    <w:rsid w:val="00966D94"/>
    <w:rsid w:val="009729AC"/>
    <w:rsid w:val="00A12AE2"/>
    <w:rsid w:val="00A57EAB"/>
    <w:rsid w:val="00A64796"/>
    <w:rsid w:val="00A66C2B"/>
    <w:rsid w:val="00A82F5D"/>
    <w:rsid w:val="00AC033D"/>
    <w:rsid w:val="00AF7685"/>
    <w:rsid w:val="00B05B71"/>
    <w:rsid w:val="00B161CD"/>
    <w:rsid w:val="00B63F7C"/>
    <w:rsid w:val="00B747CF"/>
    <w:rsid w:val="00B8600C"/>
    <w:rsid w:val="00BE0872"/>
    <w:rsid w:val="00C1029E"/>
    <w:rsid w:val="00C26660"/>
    <w:rsid w:val="00C6432C"/>
    <w:rsid w:val="00CC7D90"/>
    <w:rsid w:val="00D11E99"/>
    <w:rsid w:val="00D12999"/>
    <w:rsid w:val="00D56CDF"/>
    <w:rsid w:val="00D63300"/>
    <w:rsid w:val="00DE0995"/>
    <w:rsid w:val="00E14DD3"/>
    <w:rsid w:val="00E21EE0"/>
    <w:rsid w:val="00E435C9"/>
    <w:rsid w:val="00E62B2B"/>
    <w:rsid w:val="00F243D2"/>
    <w:rsid w:val="00F40D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5C9"/>
    <w:rPr>
      <w:rFonts w:eastAsia="Times New Roman" w:cs="Calibri"/>
      <w:sz w:val="22"/>
      <w:szCs w:val="22"/>
      <w:lang w:eastAsia="ja-JP"/>
    </w:rPr>
  </w:style>
  <w:style w:type="paragraph" w:styleId="Heading1">
    <w:name w:val="heading 1"/>
    <w:basedOn w:val="Normal"/>
    <w:next w:val="Normal"/>
    <w:link w:val="Heading1Char"/>
    <w:uiPriority w:val="9"/>
    <w:qFormat/>
    <w:rsid w:val="00E435C9"/>
    <w:pPr>
      <w:keepNext/>
      <w:keepLines/>
      <w:spacing w:before="240"/>
      <w:outlineLvl w:val="0"/>
    </w:pPr>
    <w:rPr>
      <w:rFonts w:ascii="Cambria" w:hAnsi="Cambria" w:cs="Times New Roman"/>
      <w:color w:val="365F91"/>
      <w:sz w:val="32"/>
      <w:szCs w:val="32"/>
    </w:rPr>
  </w:style>
  <w:style w:type="paragraph" w:styleId="Heading2">
    <w:name w:val="heading 2"/>
    <w:basedOn w:val="Normal"/>
    <w:next w:val="Normal"/>
    <w:link w:val="Heading2Char"/>
    <w:uiPriority w:val="9"/>
    <w:unhideWhenUsed/>
    <w:qFormat/>
    <w:rsid w:val="00E435C9"/>
    <w:pPr>
      <w:keepNext/>
      <w:keepLines/>
      <w:spacing w:before="40"/>
      <w:outlineLvl w:val="1"/>
    </w:pPr>
    <w:rPr>
      <w:rFonts w:ascii="Cambria" w:hAnsi="Cambria" w:cs="Times New Roman"/>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35C9"/>
    <w:rPr>
      <w:rFonts w:ascii="Cambria" w:eastAsia="Times New Roman" w:hAnsi="Cambria" w:cs="Times New Roman"/>
      <w:color w:val="365F91"/>
      <w:sz w:val="32"/>
      <w:szCs w:val="32"/>
      <w:lang w:eastAsia="ja-JP"/>
    </w:rPr>
  </w:style>
  <w:style w:type="character" w:customStyle="1" w:styleId="Heading2Char">
    <w:name w:val="Heading 2 Char"/>
    <w:basedOn w:val="DefaultParagraphFont"/>
    <w:link w:val="Heading2"/>
    <w:uiPriority w:val="9"/>
    <w:rsid w:val="00E435C9"/>
    <w:rPr>
      <w:rFonts w:ascii="Cambria" w:eastAsia="Times New Roman" w:hAnsi="Cambria" w:cs="Times New Roman"/>
      <w:color w:val="365F91"/>
      <w:sz w:val="26"/>
      <w:szCs w:val="26"/>
      <w:lang w:eastAsia="ja-JP"/>
    </w:rPr>
  </w:style>
  <w:style w:type="paragraph" w:styleId="ListParagraph">
    <w:name w:val="List Paragraph"/>
    <w:basedOn w:val="Normal"/>
    <w:uiPriority w:val="34"/>
    <w:qFormat/>
    <w:rsid w:val="00E435C9"/>
    <w:pPr>
      <w:ind w:left="720"/>
    </w:pPr>
  </w:style>
  <w:style w:type="character" w:styleId="Hyperlink">
    <w:name w:val="Hyperlink"/>
    <w:basedOn w:val="DefaultParagraphFont"/>
    <w:uiPriority w:val="99"/>
    <w:semiHidden/>
    <w:unhideWhenUsed/>
    <w:rsid w:val="007578F5"/>
    <w:rPr>
      <w:color w:val="0000FF"/>
      <w:u w:val="single"/>
    </w:rPr>
  </w:style>
  <w:style w:type="character" w:customStyle="1" w:styleId="apple-converted-space">
    <w:name w:val="apple-converted-space"/>
    <w:basedOn w:val="DefaultParagraphFont"/>
    <w:rsid w:val="007578F5"/>
  </w:style>
  <w:style w:type="paragraph" w:styleId="BalloonText">
    <w:name w:val="Balloon Text"/>
    <w:basedOn w:val="Normal"/>
    <w:link w:val="BalloonTextChar"/>
    <w:uiPriority w:val="99"/>
    <w:semiHidden/>
    <w:unhideWhenUsed/>
    <w:rsid w:val="00E21EE0"/>
    <w:rPr>
      <w:rFonts w:ascii="Tahoma" w:hAnsi="Tahoma" w:cs="Tahoma"/>
      <w:sz w:val="16"/>
      <w:szCs w:val="16"/>
    </w:rPr>
  </w:style>
  <w:style w:type="character" w:customStyle="1" w:styleId="BalloonTextChar">
    <w:name w:val="Balloon Text Char"/>
    <w:basedOn w:val="DefaultParagraphFont"/>
    <w:link w:val="BalloonText"/>
    <w:uiPriority w:val="99"/>
    <w:semiHidden/>
    <w:rsid w:val="00E21EE0"/>
    <w:rPr>
      <w:rFonts w:ascii="Tahoma" w:eastAsia="Times New Roman" w:hAnsi="Tahoma" w:cs="Tahoma"/>
      <w:sz w:val="16"/>
      <w:szCs w:val="16"/>
      <w:lang w:eastAsia="ja-JP"/>
    </w:rPr>
  </w:style>
  <w:style w:type="paragraph" w:styleId="Header">
    <w:name w:val="header"/>
    <w:basedOn w:val="Normal"/>
    <w:link w:val="HeaderChar"/>
    <w:uiPriority w:val="99"/>
    <w:semiHidden/>
    <w:unhideWhenUsed/>
    <w:rsid w:val="00E21EE0"/>
    <w:pPr>
      <w:tabs>
        <w:tab w:val="center" w:pos="4680"/>
        <w:tab w:val="right" w:pos="9360"/>
      </w:tabs>
    </w:pPr>
  </w:style>
  <w:style w:type="character" w:customStyle="1" w:styleId="HeaderChar">
    <w:name w:val="Header Char"/>
    <w:basedOn w:val="DefaultParagraphFont"/>
    <w:link w:val="Header"/>
    <w:uiPriority w:val="99"/>
    <w:semiHidden/>
    <w:rsid w:val="00E21EE0"/>
    <w:rPr>
      <w:rFonts w:eastAsia="Times New Roman" w:cs="Calibri"/>
      <w:sz w:val="22"/>
      <w:szCs w:val="22"/>
      <w:lang w:eastAsia="ja-JP"/>
    </w:rPr>
  </w:style>
  <w:style w:type="paragraph" w:styleId="Footer">
    <w:name w:val="footer"/>
    <w:basedOn w:val="Normal"/>
    <w:link w:val="FooterChar"/>
    <w:uiPriority w:val="99"/>
    <w:unhideWhenUsed/>
    <w:rsid w:val="00E21EE0"/>
    <w:pPr>
      <w:tabs>
        <w:tab w:val="center" w:pos="4680"/>
        <w:tab w:val="right" w:pos="9360"/>
      </w:tabs>
    </w:pPr>
  </w:style>
  <w:style w:type="character" w:customStyle="1" w:styleId="FooterChar">
    <w:name w:val="Footer Char"/>
    <w:basedOn w:val="DefaultParagraphFont"/>
    <w:link w:val="Footer"/>
    <w:uiPriority w:val="99"/>
    <w:rsid w:val="00E21EE0"/>
    <w:rPr>
      <w:rFonts w:eastAsia="Times New Roman" w:cs="Calibri"/>
      <w:sz w:val="22"/>
      <w:szCs w:val="22"/>
      <w:lang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kpmg.lu/social-media-signature/blog.asp?utm_source=email&amp;utm_medium=email&amp;utm_content=blog_logo&amp;utm_campaign=Signature" TargetMode="External"/><Relationship Id="rId18" Type="http://schemas.openxmlformats.org/officeDocument/2006/relationships/image" Target="media/image6.gi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hyperlink" Target="https://www.kpmg.lu/social-media-signature/youtube.asp?utm_source=email&amp;utm_medium=email&amp;utm_content=youtube_logo&amp;utm_campaign=Signature" TargetMode="External"/><Relationship Id="rId2" Type="http://schemas.openxmlformats.org/officeDocument/2006/relationships/numbering" Target="numbering.xml"/><Relationship Id="rId16" Type="http://schemas.openxmlformats.org/officeDocument/2006/relationships/image" Target="media/image5.gi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pmg.lu/social-media-signature/linkedin.asp?utm_source=email&amp;utm_medium=email&amp;utm_content=linkedin_logo&amp;utm_campaign=Signature" TargetMode="External"/><Relationship Id="rId5" Type="http://schemas.openxmlformats.org/officeDocument/2006/relationships/webSettings" Target="webSettings.xml"/><Relationship Id="rId15" Type="http://schemas.openxmlformats.org/officeDocument/2006/relationships/hyperlink" Target="https://www.kpmg.lu/social-media-signature/twitter.asp?utm_source=email&amp;utm_medium=email&amp;utm_content=twitter_logo&amp;utm_campaign=Signature" TargetMode="External"/><Relationship Id="rId10" Type="http://schemas.openxmlformats.org/officeDocument/2006/relationships/image" Target="media/image2.jpeg"/><Relationship Id="rId19" Type="http://schemas.openxmlformats.org/officeDocument/2006/relationships/hyperlink" Target="mailto:genevieve.feyt@kpmg.lu" TargetMode="External"/><Relationship Id="rId4" Type="http://schemas.openxmlformats.org/officeDocument/2006/relationships/settings" Target="settings.xml"/><Relationship Id="rId9" Type="http://schemas.openxmlformats.org/officeDocument/2006/relationships/hyperlink" Target="http://blog.kpmg.lu/" TargetMode="External"/><Relationship Id="rId14" Type="http://schemas.openxmlformats.org/officeDocument/2006/relationships/image" Target="media/image4.gi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18B05D-3ED6-4AA9-8D67-5D23BCBAC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982</Words>
  <Characters>5601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KPMG</Company>
  <LinksUpToDate>false</LinksUpToDate>
  <CharactersWithSpaces>6570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cgehlen</dc:creator>
  <cp:lastModifiedBy>tfeld</cp:lastModifiedBy>
  <cp:revision>2</cp:revision>
  <cp:lastPrinted>2014-02-10T13:04:00Z</cp:lastPrinted>
  <dcterms:created xsi:type="dcterms:W3CDTF">2014-02-10T17:19:00Z</dcterms:created>
  <dcterms:modified xsi:type="dcterms:W3CDTF">2014-02-10T17:19:00Z</dcterms:modified>
</cp:coreProperties>
</file>