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0C94A" w14:textId="77777777" w:rsidR="00DF1464" w:rsidRPr="00166A50" w:rsidRDefault="00DF1464" w:rsidP="00DF1464">
      <w:pPr>
        <w:shd w:val="clear" w:color="auto" w:fill="FFFFFF"/>
        <w:spacing w:before="100" w:beforeAutospacing="1" w:after="180" w:line="336" w:lineRule="atLeast"/>
        <w:outlineLvl w:val="2"/>
        <w:rPr>
          <w:rFonts w:ascii="Arial" w:eastAsia="Times New Roman" w:hAnsi="Arial" w:cs="Arial"/>
          <w:b/>
          <w:bCs/>
          <w:spacing w:val="2"/>
          <w:sz w:val="28"/>
          <w:szCs w:val="28"/>
          <w:lang w:val="en-GB"/>
        </w:rPr>
      </w:pPr>
    </w:p>
    <w:p w14:paraId="1A56D73B" w14:textId="77777777" w:rsidR="00672179" w:rsidRDefault="00672179" w:rsidP="00270690">
      <w:pPr>
        <w:shd w:val="clear" w:color="auto" w:fill="FFFFFF"/>
        <w:tabs>
          <w:tab w:val="right" w:pos="8789"/>
        </w:tabs>
        <w:spacing w:before="100" w:beforeAutospacing="1" w:after="180" w:line="336" w:lineRule="atLeast"/>
        <w:outlineLvl w:val="2"/>
        <w:rPr>
          <w:rFonts w:ascii="Arial" w:eastAsia="Times New Roman" w:hAnsi="Arial" w:cs="Arial"/>
          <w:b/>
          <w:bCs/>
          <w:spacing w:val="2"/>
          <w:sz w:val="28"/>
          <w:szCs w:val="28"/>
          <w:lang w:val="en-GB"/>
        </w:rPr>
      </w:pPr>
    </w:p>
    <w:p w14:paraId="108BA085" w14:textId="77777777" w:rsidR="00672179" w:rsidRDefault="00672179" w:rsidP="00270690">
      <w:pPr>
        <w:shd w:val="clear" w:color="auto" w:fill="FFFFFF"/>
        <w:tabs>
          <w:tab w:val="right" w:pos="8789"/>
        </w:tabs>
        <w:spacing w:before="100" w:beforeAutospacing="1" w:after="180" w:line="336" w:lineRule="atLeast"/>
        <w:outlineLvl w:val="2"/>
        <w:rPr>
          <w:rFonts w:ascii="Arial" w:eastAsia="Times New Roman" w:hAnsi="Arial" w:cs="Arial"/>
          <w:b/>
          <w:bCs/>
          <w:spacing w:val="2"/>
          <w:sz w:val="28"/>
          <w:szCs w:val="28"/>
          <w:lang w:val="en-GB"/>
        </w:rPr>
      </w:pPr>
      <w:r>
        <w:rPr>
          <w:rFonts w:ascii="Arial" w:eastAsia="Times New Roman" w:hAnsi="Arial" w:cs="Arial"/>
          <w:b/>
          <w:bCs/>
          <w:spacing w:val="2"/>
          <w:sz w:val="28"/>
          <w:szCs w:val="28"/>
          <w:lang w:val="en-GB"/>
        </w:rPr>
        <w:tab/>
      </w:r>
      <w:r>
        <w:rPr>
          <w:noProof/>
          <w:lang w:val="fr-FR" w:eastAsia="fr-FR"/>
        </w:rPr>
        <w:drawing>
          <wp:inline distT="0" distB="0" distL="0" distR="0" wp14:anchorId="3C6313D2" wp14:editId="3FFC451E">
            <wp:extent cx="1231900" cy="1231900"/>
            <wp:effectExtent l="0" t="0" r="0" b="0"/>
            <wp:docPr id="1" name="Picture 1" descr="Description: PP_orange"/>
            <wp:cNvGraphicFramePr/>
            <a:graphic xmlns:a="http://schemas.openxmlformats.org/drawingml/2006/main">
              <a:graphicData uri="http://schemas.openxmlformats.org/drawingml/2006/picture">
                <pic:pic xmlns:pic="http://schemas.openxmlformats.org/drawingml/2006/picture">
                  <pic:nvPicPr>
                    <pic:cNvPr id="1" name="Picture 1" descr="Description: PP_orange"/>
                    <pic:cNvPicPr/>
                  </pic:nvPicPr>
                  <pic:blipFill>
                    <a:blip r:embed="rId7">
                      <a:extLst>
                        <a:ext uri="{28A0092B-C50C-407E-A947-70E740481C1C}">
                          <a14:useLocalDpi xmlns:a14="http://schemas.microsoft.com/office/drawing/2010/main" val="0"/>
                        </a:ext>
                      </a:extLst>
                    </a:blip>
                    <a:srcRect l="74677"/>
                    <a:stretch>
                      <a:fillRect/>
                    </a:stretch>
                  </pic:blipFill>
                  <pic:spPr bwMode="auto">
                    <a:xfrm>
                      <a:off x="0" y="0"/>
                      <a:ext cx="1231900" cy="1231900"/>
                    </a:xfrm>
                    <a:prstGeom prst="rect">
                      <a:avLst/>
                    </a:prstGeom>
                    <a:noFill/>
                    <a:ln>
                      <a:noFill/>
                    </a:ln>
                  </pic:spPr>
                </pic:pic>
              </a:graphicData>
            </a:graphic>
          </wp:inline>
        </w:drawing>
      </w:r>
    </w:p>
    <w:p w14:paraId="5799B6A0" w14:textId="77777777" w:rsidR="00672179" w:rsidRDefault="00270690" w:rsidP="00270690">
      <w:pPr>
        <w:shd w:val="clear" w:color="auto" w:fill="FFFFFF"/>
        <w:tabs>
          <w:tab w:val="right" w:pos="8789"/>
        </w:tabs>
        <w:spacing w:before="100" w:beforeAutospacing="1" w:after="180" w:line="336" w:lineRule="atLeast"/>
        <w:outlineLvl w:val="2"/>
        <w:rPr>
          <w:rFonts w:ascii="Arial" w:eastAsia="Times New Roman" w:hAnsi="Arial" w:cs="Arial"/>
          <w:b/>
          <w:bCs/>
          <w:spacing w:val="2"/>
          <w:sz w:val="28"/>
          <w:szCs w:val="28"/>
          <w:lang w:val="en-GB"/>
        </w:rPr>
      </w:pPr>
      <w:r>
        <w:rPr>
          <w:rFonts w:ascii="Arial" w:eastAsia="Times New Roman" w:hAnsi="Arial" w:cs="Arial"/>
          <w:b/>
          <w:bCs/>
          <w:spacing w:val="2"/>
          <w:sz w:val="28"/>
          <w:szCs w:val="28"/>
          <w:lang w:val="en-GB"/>
        </w:rPr>
        <w:t>Press release</w:t>
      </w:r>
    </w:p>
    <w:p w14:paraId="3F000DB0" w14:textId="77777777" w:rsidR="00672179" w:rsidRDefault="00672179" w:rsidP="00270690">
      <w:pPr>
        <w:shd w:val="clear" w:color="auto" w:fill="FFFFFF"/>
        <w:tabs>
          <w:tab w:val="right" w:pos="8789"/>
        </w:tabs>
        <w:spacing w:before="100" w:beforeAutospacing="1" w:after="180" w:line="336" w:lineRule="atLeast"/>
        <w:outlineLvl w:val="2"/>
        <w:rPr>
          <w:rFonts w:ascii="Helvetica Neue" w:eastAsia="Times New Roman" w:hAnsi="Helvetica Neue" w:cs="Arial"/>
          <w:b/>
          <w:bCs/>
          <w:spacing w:val="2"/>
          <w:sz w:val="28"/>
          <w:szCs w:val="28"/>
          <w:lang w:val="en-GB"/>
        </w:rPr>
      </w:pPr>
      <w:r>
        <w:rPr>
          <w:rFonts w:ascii="Arial" w:eastAsia="Times New Roman" w:hAnsi="Arial" w:cs="Arial"/>
          <w:b/>
          <w:bCs/>
          <w:spacing w:val="2"/>
          <w:sz w:val="28"/>
          <w:szCs w:val="28"/>
          <w:lang w:val="en-GB"/>
        </w:rPr>
        <w:t>Embargo Februar</w:t>
      </w:r>
      <w:r w:rsidR="00B6213C">
        <w:rPr>
          <w:rFonts w:ascii="Arial" w:eastAsia="Times New Roman" w:hAnsi="Arial" w:cs="Arial"/>
          <w:b/>
          <w:bCs/>
          <w:spacing w:val="2"/>
          <w:sz w:val="28"/>
          <w:szCs w:val="28"/>
          <w:lang w:val="en-GB"/>
        </w:rPr>
        <w:t>y 27 : 07h</w:t>
      </w:r>
      <w:r>
        <w:rPr>
          <w:rFonts w:ascii="Arial" w:eastAsia="Times New Roman" w:hAnsi="Arial" w:cs="Arial"/>
          <w:b/>
          <w:bCs/>
          <w:spacing w:val="2"/>
          <w:sz w:val="28"/>
          <w:szCs w:val="28"/>
          <w:lang w:val="en-GB"/>
        </w:rPr>
        <w:t xml:space="preserve">00                                 </w:t>
      </w:r>
      <w:r w:rsidR="009837D9" w:rsidRPr="00166A50">
        <w:rPr>
          <w:rFonts w:ascii="Helvetica Neue" w:eastAsia="Times New Roman" w:hAnsi="Helvetica Neue" w:cs="Arial"/>
          <w:b/>
          <w:bCs/>
          <w:spacing w:val="2"/>
          <w:sz w:val="28"/>
          <w:szCs w:val="28"/>
          <w:lang w:val="en-GB"/>
        </w:rPr>
        <w:tab/>
      </w:r>
    </w:p>
    <w:p w14:paraId="0019F28E" w14:textId="77777777" w:rsidR="009837D9" w:rsidRPr="00166A50" w:rsidRDefault="00672179" w:rsidP="00270690">
      <w:pPr>
        <w:shd w:val="clear" w:color="auto" w:fill="FFFFFF"/>
        <w:tabs>
          <w:tab w:val="right" w:pos="8789"/>
        </w:tabs>
        <w:spacing w:before="100" w:beforeAutospacing="1" w:after="180" w:line="336" w:lineRule="atLeast"/>
        <w:outlineLvl w:val="2"/>
        <w:rPr>
          <w:rFonts w:ascii="Helvetica Neue" w:eastAsia="Times New Roman" w:hAnsi="Helvetica Neue" w:cs="Arial"/>
          <w:b/>
          <w:bCs/>
          <w:spacing w:val="2"/>
          <w:sz w:val="28"/>
          <w:szCs w:val="28"/>
          <w:lang w:val="en-GB"/>
        </w:rPr>
      </w:pPr>
      <w:r>
        <w:rPr>
          <w:rFonts w:ascii="Helvetica Neue" w:eastAsia="Times New Roman" w:hAnsi="Helvetica Neue" w:cs="Arial"/>
          <w:b/>
          <w:bCs/>
          <w:spacing w:val="2"/>
          <w:sz w:val="28"/>
          <w:szCs w:val="28"/>
          <w:lang w:val="en-GB"/>
        </w:rPr>
        <w:tab/>
      </w:r>
      <w:r w:rsidR="00DF1464" w:rsidRPr="00166A50">
        <w:rPr>
          <w:rFonts w:ascii="Helvetica Neue" w:eastAsia="Times New Roman" w:hAnsi="Helvetica Neue" w:cs="Arial"/>
          <w:bCs/>
          <w:spacing w:val="2"/>
          <w:sz w:val="23"/>
          <w:szCs w:val="23"/>
          <w:lang w:val="en-GB"/>
        </w:rPr>
        <w:t xml:space="preserve">Bertrange, </w:t>
      </w:r>
      <w:r>
        <w:rPr>
          <w:rFonts w:ascii="Helvetica Neue" w:eastAsia="Times New Roman" w:hAnsi="Helvetica Neue" w:cs="Arial"/>
          <w:bCs/>
          <w:spacing w:val="2"/>
          <w:sz w:val="23"/>
          <w:szCs w:val="23"/>
          <w:lang w:val="en-GB"/>
        </w:rPr>
        <w:t>27</w:t>
      </w:r>
      <w:r w:rsidRPr="00672179">
        <w:rPr>
          <w:rFonts w:ascii="Helvetica Neue" w:eastAsia="Times New Roman" w:hAnsi="Helvetica Neue" w:cs="Arial"/>
          <w:bCs/>
          <w:spacing w:val="2"/>
          <w:sz w:val="23"/>
          <w:szCs w:val="23"/>
          <w:vertAlign w:val="superscript"/>
          <w:lang w:val="en-GB"/>
        </w:rPr>
        <w:t>th</w:t>
      </w:r>
      <w:r>
        <w:rPr>
          <w:rFonts w:ascii="Helvetica Neue" w:eastAsia="Times New Roman" w:hAnsi="Helvetica Neue" w:cs="Arial"/>
          <w:bCs/>
          <w:spacing w:val="2"/>
          <w:sz w:val="23"/>
          <w:szCs w:val="23"/>
          <w:lang w:val="en-GB"/>
        </w:rPr>
        <w:t xml:space="preserve"> February 2014</w:t>
      </w:r>
    </w:p>
    <w:p w14:paraId="7E7AEE59" w14:textId="77777777" w:rsidR="00E8191C" w:rsidRDefault="00E8191C" w:rsidP="00521350">
      <w:pPr>
        <w:rPr>
          <w:rFonts w:ascii="HelveticaNeueLT Std" w:hAnsi="HelveticaNeueLT Std" w:cs="Arial"/>
          <w:b/>
          <w:color w:val="FF6600"/>
          <w:sz w:val="32"/>
          <w:lang w:val="en-GB"/>
        </w:rPr>
      </w:pPr>
    </w:p>
    <w:p w14:paraId="4D16D873" w14:textId="77777777" w:rsidR="009C7226" w:rsidRPr="00166A50" w:rsidRDefault="00DF1464" w:rsidP="00521350">
      <w:pPr>
        <w:rPr>
          <w:rFonts w:ascii="HelveticaNeueLT Std" w:hAnsi="HelveticaNeueLT Std" w:cs="Arial"/>
          <w:b/>
          <w:color w:val="FF6600"/>
          <w:sz w:val="32"/>
          <w:lang w:val="en-GB"/>
        </w:rPr>
      </w:pPr>
      <w:r w:rsidRPr="00166A50">
        <w:rPr>
          <w:rFonts w:ascii="HelveticaNeueLT Std" w:hAnsi="HelveticaNeueLT Std" w:cs="Arial"/>
          <w:b/>
          <w:color w:val="FF6600"/>
          <w:sz w:val="32"/>
          <w:lang w:val="en-GB"/>
        </w:rPr>
        <w:t xml:space="preserve">Orange Luxembourg </w:t>
      </w:r>
      <w:r w:rsidR="00672179">
        <w:rPr>
          <w:rFonts w:ascii="HelveticaNeueLT Std" w:hAnsi="HelveticaNeueLT Std" w:cs="Arial"/>
          <w:b/>
          <w:color w:val="FF6600"/>
          <w:sz w:val="32"/>
          <w:lang w:val="en-GB"/>
        </w:rPr>
        <w:t>increase</w:t>
      </w:r>
      <w:r w:rsidR="00CE355E">
        <w:rPr>
          <w:rFonts w:ascii="HelveticaNeueLT Std" w:hAnsi="HelveticaNeueLT Std" w:cs="Arial"/>
          <w:b/>
          <w:color w:val="FF6600"/>
          <w:sz w:val="32"/>
          <w:lang w:val="en-GB"/>
        </w:rPr>
        <w:t>s</w:t>
      </w:r>
      <w:r w:rsidR="00672179">
        <w:rPr>
          <w:rFonts w:ascii="HelveticaNeueLT Std" w:hAnsi="HelveticaNeueLT Std" w:cs="Arial"/>
          <w:b/>
          <w:color w:val="FF6600"/>
          <w:sz w:val="32"/>
          <w:lang w:val="en-GB"/>
        </w:rPr>
        <w:t xml:space="preserve"> its profitability </w:t>
      </w:r>
      <w:r w:rsidR="00382DF6">
        <w:rPr>
          <w:rFonts w:ascii="HelveticaNeueLT Std" w:hAnsi="HelveticaNeueLT Std" w:cs="Arial"/>
          <w:b/>
          <w:color w:val="FF6600"/>
          <w:sz w:val="32"/>
          <w:lang w:val="en-GB"/>
        </w:rPr>
        <w:t>to</w:t>
      </w:r>
      <w:r w:rsidR="00672179">
        <w:rPr>
          <w:rFonts w:ascii="HelveticaNeueLT Std" w:hAnsi="HelveticaNeueLT Std" w:cs="Arial"/>
          <w:b/>
          <w:color w:val="FF6600"/>
          <w:sz w:val="32"/>
          <w:lang w:val="en-GB"/>
        </w:rPr>
        <w:t xml:space="preserve"> </w:t>
      </w:r>
      <w:r w:rsidR="00382DF6">
        <w:rPr>
          <w:rFonts w:ascii="HelveticaNeueLT Std" w:hAnsi="HelveticaNeueLT Std" w:cs="Arial"/>
          <w:b/>
          <w:color w:val="FF6600"/>
          <w:sz w:val="32"/>
          <w:lang w:val="en-GB"/>
        </w:rPr>
        <w:t>accelerate</w:t>
      </w:r>
      <w:r w:rsidR="00672179">
        <w:rPr>
          <w:rFonts w:ascii="HelveticaNeueLT Std" w:hAnsi="HelveticaNeueLT Std" w:cs="Arial"/>
          <w:b/>
          <w:color w:val="FF6600"/>
          <w:sz w:val="32"/>
          <w:lang w:val="en-GB"/>
        </w:rPr>
        <w:t xml:space="preserve"> i</w:t>
      </w:r>
      <w:r w:rsidR="00382DF6">
        <w:rPr>
          <w:rFonts w:ascii="HelveticaNeueLT Std" w:hAnsi="HelveticaNeueLT Std" w:cs="Arial"/>
          <w:b/>
          <w:color w:val="FF6600"/>
          <w:sz w:val="32"/>
          <w:lang w:val="en-GB"/>
        </w:rPr>
        <w:t>ts investments</w:t>
      </w:r>
      <w:r w:rsidR="00672179">
        <w:rPr>
          <w:rFonts w:ascii="HelveticaNeueLT Std" w:hAnsi="HelveticaNeueLT Std" w:cs="Arial"/>
          <w:b/>
          <w:color w:val="FF6600"/>
          <w:sz w:val="32"/>
          <w:lang w:val="en-GB"/>
        </w:rPr>
        <w:t xml:space="preserve"> in Luxembourg </w:t>
      </w:r>
      <w:r w:rsidRPr="00166A50">
        <w:rPr>
          <w:rFonts w:ascii="HelveticaNeueLT Std" w:hAnsi="HelveticaNeueLT Std" w:cs="Arial"/>
          <w:b/>
          <w:color w:val="FF6600"/>
          <w:sz w:val="32"/>
          <w:lang w:val="en-GB"/>
        </w:rPr>
        <w:t xml:space="preserve"> </w:t>
      </w:r>
    </w:p>
    <w:p w14:paraId="007A8EAB" w14:textId="77777777" w:rsidR="00DF1464" w:rsidRPr="00166A50" w:rsidRDefault="00DF1464" w:rsidP="00521350">
      <w:pPr>
        <w:jc w:val="both"/>
        <w:rPr>
          <w:rFonts w:ascii="HelveticaNeueLT Std" w:hAnsi="HelveticaNeueLT Std" w:cs="Arial"/>
          <w:b/>
          <w:lang w:val="en-GB"/>
        </w:rPr>
      </w:pPr>
      <w:r w:rsidRPr="00166A50">
        <w:rPr>
          <w:rFonts w:ascii="HelveticaNeueLT Std" w:hAnsi="HelveticaNeueLT Std" w:cs="Arial"/>
          <w:b/>
          <w:lang w:val="en-GB"/>
        </w:rPr>
        <w:t xml:space="preserve">Orange Luxembourg </w:t>
      </w:r>
      <w:r w:rsidR="00672179">
        <w:rPr>
          <w:rFonts w:ascii="HelveticaNeueLT Std" w:hAnsi="HelveticaNeueLT Std" w:cs="Arial"/>
          <w:b/>
          <w:lang w:val="en-GB"/>
        </w:rPr>
        <w:t>consolidate</w:t>
      </w:r>
      <w:r w:rsidR="00CE355E">
        <w:rPr>
          <w:rFonts w:ascii="HelveticaNeueLT Std" w:hAnsi="HelveticaNeueLT Std" w:cs="Arial"/>
          <w:b/>
          <w:lang w:val="en-GB"/>
        </w:rPr>
        <w:t>s</w:t>
      </w:r>
      <w:r w:rsidR="00672179">
        <w:rPr>
          <w:rFonts w:ascii="HelveticaNeueLT Std" w:hAnsi="HelveticaNeueLT Std" w:cs="Arial"/>
          <w:b/>
          <w:lang w:val="en-GB"/>
        </w:rPr>
        <w:t xml:space="preserve"> customer base and development</w:t>
      </w:r>
      <w:r w:rsidR="00E8191C">
        <w:rPr>
          <w:rFonts w:ascii="HelveticaNeueLT Std" w:hAnsi="HelveticaNeueLT Std" w:cs="Arial"/>
          <w:b/>
          <w:lang w:val="en-GB"/>
        </w:rPr>
        <w:t xml:space="preserve"> in </w:t>
      </w:r>
      <w:r w:rsidR="00672179">
        <w:rPr>
          <w:rFonts w:ascii="HelveticaNeueLT Std" w:hAnsi="HelveticaNeueLT Std" w:cs="Arial"/>
          <w:b/>
          <w:lang w:val="en-GB"/>
        </w:rPr>
        <w:t>Luxembourg while providing good roaming deals to its customers.</w:t>
      </w:r>
    </w:p>
    <w:p w14:paraId="78BFF642" w14:textId="7DB91E3C" w:rsidR="00672179" w:rsidRPr="00672179" w:rsidRDefault="00672179" w:rsidP="00672179">
      <w:pPr>
        <w:pStyle w:val="BodyTextIndent"/>
        <w:jc w:val="both"/>
        <w:rPr>
          <w:rFonts w:ascii="Helvetica 55 Roman" w:hAnsi="Helvetica 55 Roman" w:cs="Times New Roman"/>
          <w:bCs/>
          <w:i w:val="0"/>
          <w:iCs w:val="0"/>
          <w:sz w:val="22"/>
          <w:szCs w:val="22"/>
          <w:lang w:val="en-GB" w:eastAsia="en-US"/>
        </w:rPr>
      </w:pPr>
      <w:r w:rsidRPr="00672179">
        <w:rPr>
          <w:rFonts w:ascii="Helvetica 55 Roman" w:hAnsi="Helvetica 55 Roman" w:cs="Times New Roman"/>
          <w:bCs/>
          <w:i w:val="0"/>
          <w:iCs w:val="0"/>
          <w:sz w:val="22"/>
          <w:szCs w:val="22"/>
          <w:lang w:val="en-GB" w:eastAsia="en-US"/>
        </w:rPr>
        <w:t>The market for mobile telephony in Luxembourg was subject to strong competition. Orange Co</w:t>
      </w:r>
      <w:r w:rsidR="00236C11">
        <w:rPr>
          <w:rFonts w:ascii="Helvetica 55 Roman" w:hAnsi="Helvetica 55 Roman" w:cs="Times New Roman"/>
          <w:bCs/>
          <w:i w:val="0"/>
          <w:iCs w:val="0"/>
          <w:sz w:val="22"/>
          <w:szCs w:val="22"/>
          <w:lang w:val="en-GB" w:eastAsia="en-US"/>
        </w:rPr>
        <w:t>mmunications Luxembourg occupies</w:t>
      </w:r>
      <w:r w:rsidRPr="00672179">
        <w:rPr>
          <w:rFonts w:ascii="Helvetica 55 Roman" w:hAnsi="Helvetica 55 Roman" w:cs="Times New Roman"/>
          <w:bCs/>
          <w:i w:val="0"/>
          <w:iCs w:val="0"/>
          <w:sz w:val="22"/>
          <w:szCs w:val="22"/>
          <w:lang w:val="en-GB" w:eastAsia="en-US"/>
        </w:rPr>
        <w:t xml:space="preserve"> the third place in terms of mobile market share. </w:t>
      </w:r>
    </w:p>
    <w:p w14:paraId="77572E65" w14:textId="77777777" w:rsidR="00521350" w:rsidRPr="00672179" w:rsidRDefault="00521350" w:rsidP="00DF1464">
      <w:pPr>
        <w:jc w:val="both"/>
        <w:rPr>
          <w:rFonts w:ascii="Helvetica 55 Roman" w:hAnsi="Helvetica 55 Roman"/>
          <w:lang w:val="en-GB"/>
        </w:rPr>
      </w:pPr>
    </w:p>
    <w:p w14:paraId="669BDE23" w14:textId="77777777" w:rsidR="00672179" w:rsidRPr="00672179" w:rsidRDefault="00672179" w:rsidP="00672179">
      <w:pPr>
        <w:pStyle w:val="BodyTextIndent"/>
        <w:jc w:val="both"/>
        <w:rPr>
          <w:rFonts w:ascii="Helvetica 55 Roman" w:hAnsi="Helvetica 55 Roman" w:cs="Times New Roman"/>
          <w:bCs/>
          <w:i w:val="0"/>
          <w:iCs w:val="0"/>
          <w:sz w:val="22"/>
          <w:szCs w:val="22"/>
          <w:lang w:val="en-GB" w:eastAsia="en-US"/>
        </w:rPr>
      </w:pPr>
      <w:r w:rsidRPr="00672179">
        <w:rPr>
          <w:rFonts w:ascii="Helvetica 55 Roman" w:hAnsi="Helvetica 55 Roman" w:cs="Times New Roman"/>
          <w:bCs/>
          <w:i w:val="0"/>
          <w:iCs w:val="0"/>
          <w:sz w:val="22"/>
          <w:szCs w:val="22"/>
          <w:lang w:val="en-GB" w:eastAsia="en-US"/>
        </w:rPr>
        <w:t xml:space="preserve">The total turnover amounted to 75.6 million euro at the end </w:t>
      </w:r>
      <w:r w:rsidR="00CE355E">
        <w:rPr>
          <w:rFonts w:ascii="Helvetica 55 Roman" w:hAnsi="Helvetica 55 Roman" w:cs="Times New Roman"/>
          <w:bCs/>
          <w:i w:val="0"/>
          <w:iCs w:val="0"/>
          <w:sz w:val="22"/>
          <w:szCs w:val="22"/>
          <w:lang w:val="en-GB" w:eastAsia="en-US"/>
        </w:rPr>
        <w:t xml:space="preserve">of </w:t>
      </w:r>
      <w:r w:rsidRPr="00672179">
        <w:rPr>
          <w:rFonts w:ascii="Helvetica 55 Roman" w:hAnsi="Helvetica 55 Roman" w:cs="Times New Roman"/>
          <w:bCs/>
          <w:i w:val="0"/>
          <w:iCs w:val="0"/>
          <w:sz w:val="22"/>
          <w:szCs w:val="22"/>
          <w:lang w:val="en-GB" w:eastAsia="en-US"/>
        </w:rPr>
        <w:t>2013, an increase of 0.1 % compared to the 75.5 million euro of 2012. Excluding the 0.75 million euro roaming regulator impact, the total revenues would amount to 76.4 million euro, an increase of 1.1 %.</w:t>
      </w:r>
    </w:p>
    <w:p w14:paraId="04A5D1E4" w14:textId="77777777" w:rsidR="00672179" w:rsidRPr="00672179" w:rsidRDefault="00672179" w:rsidP="00672179">
      <w:pPr>
        <w:jc w:val="both"/>
        <w:rPr>
          <w:rFonts w:ascii="Helvetica 55 Roman" w:hAnsi="Helvetica 55 Roman"/>
          <w:lang w:val="en-GB"/>
        </w:rPr>
      </w:pPr>
    </w:p>
    <w:p w14:paraId="32290FFB" w14:textId="1BF6CDC4" w:rsidR="00991BB1" w:rsidRDefault="00672179" w:rsidP="00DF1464">
      <w:pPr>
        <w:jc w:val="both"/>
        <w:rPr>
          <w:rFonts w:ascii="Helvetica 55 Roman" w:hAnsi="Helvetica 55 Roman"/>
          <w:lang w:val="en-GB"/>
        </w:rPr>
      </w:pPr>
      <w:r w:rsidRPr="00672179">
        <w:rPr>
          <w:rFonts w:ascii="Helvetica 55 Roman" w:hAnsi="Helvetica 55 Roman"/>
          <w:lang w:val="en-GB"/>
        </w:rPr>
        <w:t xml:space="preserve">The EBITDA of Orange Communications Luxembourg S.A. </w:t>
      </w:r>
      <w:r w:rsidR="006B78D8">
        <w:rPr>
          <w:rFonts w:ascii="Helvetica 55 Roman" w:hAnsi="Helvetica 55 Roman"/>
          <w:lang w:val="en-GB"/>
        </w:rPr>
        <w:t xml:space="preserve">grew by </w:t>
      </w:r>
      <w:r w:rsidR="00A848FD">
        <w:rPr>
          <w:rFonts w:ascii="Helvetica 55 Roman" w:hAnsi="Helvetica 55 Roman"/>
          <w:lang w:val="en-GB"/>
        </w:rPr>
        <w:t xml:space="preserve">15.1 </w:t>
      </w:r>
      <w:r w:rsidR="006B78D8">
        <w:rPr>
          <w:rFonts w:ascii="Helvetica 55 Roman" w:hAnsi="Helvetica 55 Roman"/>
          <w:lang w:val="en-GB"/>
        </w:rPr>
        <w:t>% compared to 2012</w:t>
      </w:r>
      <w:r w:rsidR="00991BB1">
        <w:rPr>
          <w:rFonts w:ascii="Helvetica 55 Roman" w:hAnsi="Helvetica 55 Roman"/>
          <w:lang w:val="en-GB"/>
        </w:rPr>
        <w:t xml:space="preserve">. </w:t>
      </w:r>
      <w:r w:rsidRPr="00672179">
        <w:rPr>
          <w:rFonts w:ascii="Helvetica 55 Roman" w:hAnsi="Helvetica 55 Roman"/>
          <w:lang w:val="en-GB"/>
        </w:rPr>
        <w:t xml:space="preserve">This positive result was realized despite </w:t>
      </w:r>
      <w:r w:rsidR="00991BB1">
        <w:rPr>
          <w:rFonts w:ascii="Helvetica 55 Roman" w:hAnsi="Helvetica 55 Roman"/>
          <w:lang w:val="en-GB"/>
        </w:rPr>
        <w:t xml:space="preserve">the introduction of roaming in the tariff plans and </w:t>
      </w:r>
      <w:r w:rsidRPr="00672179">
        <w:rPr>
          <w:rFonts w:ascii="Helvetica 55 Roman" w:hAnsi="Helvetica 55 Roman"/>
          <w:lang w:val="en-GB"/>
        </w:rPr>
        <w:t xml:space="preserve">the start-up costs linked to the launch of its new converged offering following the deal it has signed with the cable company </w:t>
      </w:r>
      <w:proofErr w:type="spellStart"/>
      <w:r w:rsidRPr="00672179">
        <w:rPr>
          <w:rFonts w:ascii="Helvetica 55 Roman" w:hAnsi="Helvetica 55 Roman"/>
          <w:lang w:val="en-GB"/>
        </w:rPr>
        <w:t>Eltrona</w:t>
      </w:r>
      <w:proofErr w:type="spellEnd"/>
      <w:r w:rsidRPr="00672179">
        <w:rPr>
          <w:rFonts w:ascii="Helvetica 55 Roman" w:hAnsi="Helvetica 55 Roman"/>
          <w:lang w:val="en-GB"/>
        </w:rPr>
        <w:t xml:space="preserve"> Telecom</w:t>
      </w:r>
    </w:p>
    <w:p w14:paraId="5B61DAAE" w14:textId="77777777" w:rsidR="00A848FD" w:rsidRDefault="00A848FD" w:rsidP="00DF1464">
      <w:pPr>
        <w:jc w:val="both"/>
        <w:rPr>
          <w:rFonts w:ascii="Helvetica 55 Roman" w:hAnsi="Helvetica 55 Roman"/>
          <w:lang w:val="en-GB"/>
        </w:rPr>
      </w:pPr>
    </w:p>
    <w:p w14:paraId="540F2964" w14:textId="77777777" w:rsidR="00A848FD" w:rsidRDefault="00A848FD" w:rsidP="00DF1464">
      <w:pPr>
        <w:jc w:val="both"/>
        <w:rPr>
          <w:rFonts w:ascii="Helvetica 55 Roman" w:hAnsi="Helvetica 55 Roman"/>
          <w:lang w:val="en-GB"/>
        </w:rPr>
      </w:pPr>
    </w:p>
    <w:p w14:paraId="64B3B58C" w14:textId="77777777" w:rsidR="00A848FD" w:rsidRDefault="00A848FD" w:rsidP="00DF1464">
      <w:pPr>
        <w:jc w:val="both"/>
        <w:rPr>
          <w:rFonts w:ascii="Helvetica 55 Roman" w:hAnsi="Helvetica 55 Roman"/>
          <w:lang w:val="en-GB"/>
        </w:rPr>
      </w:pPr>
    </w:p>
    <w:p w14:paraId="5D489BFE" w14:textId="77777777" w:rsidR="00A848FD" w:rsidRDefault="00A848FD" w:rsidP="00DF1464">
      <w:pPr>
        <w:jc w:val="both"/>
        <w:rPr>
          <w:rFonts w:ascii="Helvetica 55 Roman" w:hAnsi="Helvetica 55 Roman"/>
          <w:lang w:val="en-GB"/>
        </w:rPr>
      </w:pPr>
    </w:p>
    <w:p w14:paraId="45953AD6" w14:textId="77777777" w:rsidR="00A848FD" w:rsidRDefault="00A848FD" w:rsidP="00DF1464">
      <w:pPr>
        <w:jc w:val="both"/>
        <w:rPr>
          <w:rFonts w:ascii="Helvetica 55 Roman" w:hAnsi="Helvetica 55 Roman"/>
          <w:lang w:val="en-GB"/>
        </w:rPr>
      </w:pPr>
    </w:p>
    <w:p w14:paraId="08FEFC3C" w14:textId="77777777" w:rsidR="00A848FD" w:rsidRDefault="00A848FD" w:rsidP="00DF1464">
      <w:pPr>
        <w:jc w:val="both"/>
        <w:rPr>
          <w:rFonts w:ascii="Helvetica 55 Roman" w:hAnsi="Helvetica 55 Roman"/>
          <w:lang w:val="en-GB"/>
        </w:rPr>
      </w:pPr>
    </w:p>
    <w:p w14:paraId="391F5121" w14:textId="77777777" w:rsidR="00A848FD" w:rsidRPr="006B78D8" w:rsidRDefault="00A848FD" w:rsidP="00DF1464">
      <w:pPr>
        <w:jc w:val="both"/>
        <w:rPr>
          <w:rFonts w:ascii="Helvetica 55 Roman" w:hAnsi="Helvetica 55 Roman"/>
          <w:lang w:val="en-GB"/>
        </w:rPr>
      </w:pPr>
      <w:bookmarkStart w:id="0" w:name="_GoBack"/>
      <w:bookmarkEnd w:id="0"/>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418"/>
        <w:gridCol w:w="1134"/>
        <w:gridCol w:w="1275"/>
      </w:tblGrid>
      <w:tr w:rsidR="00672179" w:rsidRPr="00672179" w14:paraId="05B75FC1" w14:textId="77777777" w:rsidTr="00CE355E">
        <w:trPr>
          <w:trHeight w:val="443"/>
        </w:trPr>
        <w:tc>
          <w:tcPr>
            <w:tcW w:w="4678" w:type="dxa"/>
            <w:tcBorders>
              <w:top w:val="single" w:sz="4" w:space="0" w:color="auto"/>
              <w:left w:val="single" w:sz="4" w:space="0" w:color="auto"/>
              <w:bottom w:val="single" w:sz="4" w:space="0" w:color="auto"/>
              <w:right w:val="single" w:sz="4" w:space="0" w:color="auto"/>
            </w:tcBorders>
            <w:shd w:val="clear" w:color="auto" w:fill="C0C0C0"/>
            <w:vAlign w:val="center"/>
          </w:tcPr>
          <w:p w14:paraId="6C56D424" w14:textId="77777777" w:rsidR="00672179" w:rsidRPr="00991BB1" w:rsidRDefault="00672179" w:rsidP="00236C11">
            <w:pPr>
              <w:pStyle w:val="Header"/>
              <w:rPr>
                <w:rFonts w:ascii="Helvetica 55 Roman" w:hAnsi="Helvetica 55 Roman"/>
                <w:b/>
                <w:snapToGrid w:val="0"/>
                <w:sz w:val="20"/>
              </w:rPr>
            </w:pPr>
          </w:p>
          <w:p w14:paraId="5A155F9D" w14:textId="77777777" w:rsidR="00672179" w:rsidRPr="00672179" w:rsidRDefault="00672179" w:rsidP="00236C11">
            <w:pPr>
              <w:pStyle w:val="Header"/>
              <w:rPr>
                <w:rFonts w:ascii="Helvetica 55 Roman" w:hAnsi="Helvetica 55 Roman"/>
                <w:b/>
                <w:snapToGrid w:val="0"/>
                <w:sz w:val="20"/>
                <w:lang w:val="en-GB"/>
              </w:rPr>
            </w:pPr>
            <w:r w:rsidRPr="00672179">
              <w:rPr>
                <w:rFonts w:ascii="Helvetica 55 Roman" w:hAnsi="Helvetica 55 Roman"/>
                <w:b/>
                <w:snapToGrid w:val="0"/>
                <w:sz w:val="22"/>
                <w:lang w:val="en-GB"/>
              </w:rPr>
              <w:t>Key financial figures of Orange Communications Luxembourg S.A.</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0101F1AA" w14:textId="77777777" w:rsidR="00672179" w:rsidRPr="00672179" w:rsidRDefault="00672179" w:rsidP="00236C11">
            <w:pPr>
              <w:pStyle w:val="Header"/>
              <w:jc w:val="center"/>
              <w:rPr>
                <w:rFonts w:ascii="Helvetica 55 Roman" w:hAnsi="Helvetica 55 Roman"/>
                <w:b/>
                <w:bCs/>
                <w:sz w:val="22"/>
                <w:szCs w:val="20"/>
                <w:lang w:val="en-GB" w:eastAsia="nl-NL"/>
              </w:rPr>
            </w:pPr>
            <w:r w:rsidRPr="00672179">
              <w:rPr>
                <w:rFonts w:ascii="Helvetica 55 Roman" w:hAnsi="Helvetica 55 Roman"/>
                <w:b/>
                <w:bCs/>
                <w:sz w:val="22"/>
                <w:szCs w:val="20"/>
                <w:lang w:val="en-GB" w:eastAsia="nl-NL"/>
              </w:rPr>
              <w:t>Full Year 2013</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2A0C240" w14:textId="77777777" w:rsidR="00672179" w:rsidRPr="00672179" w:rsidRDefault="00672179" w:rsidP="00236C11">
            <w:pPr>
              <w:pStyle w:val="Header"/>
              <w:jc w:val="center"/>
              <w:rPr>
                <w:rFonts w:ascii="Helvetica 55 Roman" w:hAnsi="Helvetica 55 Roman"/>
                <w:b/>
                <w:bCs/>
                <w:sz w:val="22"/>
                <w:szCs w:val="20"/>
                <w:lang w:val="en-GB" w:eastAsia="nl-NL"/>
              </w:rPr>
            </w:pPr>
            <w:r w:rsidRPr="00672179">
              <w:rPr>
                <w:rFonts w:ascii="Helvetica 55 Roman" w:hAnsi="Helvetica 55 Roman"/>
                <w:b/>
                <w:bCs/>
                <w:sz w:val="22"/>
                <w:szCs w:val="20"/>
                <w:lang w:val="en-GB" w:eastAsia="nl-NL"/>
              </w:rPr>
              <w:t>Full Year 2012</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tcPr>
          <w:p w14:paraId="2C48F3A2" w14:textId="77777777" w:rsidR="00672179" w:rsidRPr="00672179" w:rsidRDefault="00672179" w:rsidP="00236C11">
            <w:pPr>
              <w:pStyle w:val="Header"/>
              <w:jc w:val="center"/>
              <w:rPr>
                <w:rFonts w:ascii="Helvetica 55 Roman" w:hAnsi="Helvetica 55 Roman"/>
                <w:b/>
                <w:snapToGrid w:val="0"/>
                <w:sz w:val="20"/>
                <w:lang w:val="en-GB"/>
              </w:rPr>
            </w:pPr>
            <w:r w:rsidRPr="00672179">
              <w:rPr>
                <w:rFonts w:ascii="Helvetica 55 Roman" w:hAnsi="Helvetica 55 Roman"/>
                <w:b/>
                <w:snapToGrid w:val="0"/>
                <w:sz w:val="20"/>
                <w:lang w:val="en-GB"/>
              </w:rPr>
              <w:t>Variation</w:t>
            </w:r>
          </w:p>
        </w:tc>
      </w:tr>
      <w:tr w:rsidR="00672179" w:rsidRPr="00672179" w14:paraId="49433BC9" w14:textId="77777777" w:rsidTr="00CE355E">
        <w:trPr>
          <w:trHeight w:val="222"/>
        </w:trPr>
        <w:tc>
          <w:tcPr>
            <w:tcW w:w="4678" w:type="dxa"/>
            <w:vAlign w:val="center"/>
          </w:tcPr>
          <w:p w14:paraId="66E110AE" w14:textId="77777777" w:rsidR="00672179" w:rsidRPr="00672179" w:rsidRDefault="00672179" w:rsidP="00236C11">
            <w:pPr>
              <w:pStyle w:val="Header"/>
              <w:rPr>
                <w:rFonts w:ascii="Helvetica 55 Roman" w:hAnsi="Helvetica 55 Roman"/>
                <w:snapToGrid w:val="0"/>
                <w:sz w:val="20"/>
                <w:lang w:val="en-GB"/>
              </w:rPr>
            </w:pPr>
            <w:r w:rsidRPr="00672179">
              <w:rPr>
                <w:rFonts w:ascii="Helvetica 55 Roman" w:hAnsi="Helvetica 55 Roman"/>
                <w:snapToGrid w:val="0"/>
                <w:sz w:val="20"/>
                <w:lang w:val="en-GB"/>
              </w:rPr>
              <w:t>Total turnover (million €)</w:t>
            </w:r>
          </w:p>
        </w:tc>
        <w:tc>
          <w:tcPr>
            <w:tcW w:w="1418" w:type="dxa"/>
            <w:vAlign w:val="bottom"/>
          </w:tcPr>
          <w:p w14:paraId="6349CB6F" w14:textId="77777777" w:rsidR="00672179" w:rsidRPr="00672179" w:rsidDel="00214823"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75.6</w:t>
            </w:r>
          </w:p>
        </w:tc>
        <w:tc>
          <w:tcPr>
            <w:tcW w:w="1134" w:type="dxa"/>
            <w:vAlign w:val="bottom"/>
          </w:tcPr>
          <w:p w14:paraId="210E5491" w14:textId="77777777" w:rsidR="00672179" w:rsidRPr="00672179" w:rsidDel="00214823"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75.5</w:t>
            </w:r>
          </w:p>
        </w:tc>
        <w:tc>
          <w:tcPr>
            <w:tcW w:w="1275" w:type="dxa"/>
            <w:vAlign w:val="bottom"/>
          </w:tcPr>
          <w:p w14:paraId="3DCF0017" w14:textId="77777777" w:rsidR="00672179" w:rsidRPr="00672179"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+0.1 %</w:t>
            </w:r>
          </w:p>
        </w:tc>
      </w:tr>
    </w:tbl>
    <w:p w14:paraId="2487B74E" w14:textId="77777777" w:rsidR="00672179" w:rsidRPr="00672179" w:rsidRDefault="00672179" w:rsidP="00672179">
      <w:pPr>
        <w:jc w:val="both"/>
        <w:rPr>
          <w:rFonts w:ascii="Helvetica 55 Roman" w:hAnsi="Helvetica 55 Roman" w:cs="Calibri"/>
          <w:lang w:val="en-GB"/>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418"/>
        <w:gridCol w:w="1134"/>
        <w:gridCol w:w="1275"/>
      </w:tblGrid>
      <w:tr w:rsidR="00672179" w:rsidRPr="00672179" w14:paraId="5554FBF7" w14:textId="77777777" w:rsidTr="00CE355E">
        <w:trPr>
          <w:trHeight w:val="328"/>
        </w:trPr>
        <w:tc>
          <w:tcPr>
            <w:tcW w:w="4678" w:type="dxa"/>
            <w:shd w:val="clear" w:color="auto" w:fill="C0C0C0"/>
            <w:vAlign w:val="bottom"/>
          </w:tcPr>
          <w:p w14:paraId="058FED5A" w14:textId="77777777" w:rsidR="00672179" w:rsidRPr="00672179" w:rsidRDefault="00672179" w:rsidP="00236C11">
            <w:pPr>
              <w:rPr>
                <w:rFonts w:ascii="Helvetica 55 Roman" w:hAnsi="Helvetica 55 Roman"/>
                <w:b/>
                <w:bCs/>
                <w:szCs w:val="20"/>
                <w:lang w:val="en-GB" w:eastAsia="nl-NL"/>
              </w:rPr>
            </w:pPr>
            <w:r w:rsidRPr="00672179">
              <w:rPr>
                <w:rFonts w:ascii="Helvetica 55 Roman" w:hAnsi="Helvetica 55 Roman"/>
                <w:b/>
                <w:bCs/>
                <w:szCs w:val="20"/>
                <w:lang w:val="en-GB" w:eastAsia="nl-NL"/>
              </w:rPr>
              <w:t>Key operating figures of Orange Communications Luxembourg S.A.</w:t>
            </w:r>
          </w:p>
        </w:tc>
        <w:tc>
          <w:tcPr>
            <w:tcW w:w="1418" w:type="dxa"/>
            <w:shd w:val="clear" w:color="auto" w:fill="C0C0C0"/>
            <w:vAlign w:val="bottom"/>
          </w:tcPr>
          <w:p w14:paraId="7D914A24" w14:textId="77777777" w:rsidR="00672179" w:rsidRPr="00672179" w:rsidRDefault="00672179" w:rsidP="00236C11">
            <w:pPr>
              <w:jc w:val="center"/>
              <w:rPr>
                <w:rFonts w:ascii="Helvetica 55 Roman" w:hAnsi="Helvetica 55 Roman"/>
                <w:bCs/>
                <w:szCs w:val="20"/>
                <w:lang w:val="en-GB" w:eastAsia="nl-NL"/>
              </w:rPr>
            </w:pPr>
            <w:r w:rsidRPr="00672179">
              <w:rPr>
                <w:rFonts w:ascii="Helvetica 55 Roman" w:hAnsi="Helvetica 55 Roman"/>
                <w:b/>
                <w:bCs/>
                <w:szCs w:val="20"/>
                <w:lang w:val="en-GB" w:eastAsia="nl-NL"/>
              </w:rPr>
              <w:t>Full Year 2013</w:t>
            </w:r>
          </w:p>
        </w:tc>
        <w:tc>
          <w:tcPr>
            <w:tcW w:w="1134" w:type="dxa"/>
            <w:shd w:val="clear" w:color="auto" w:fill="C0C0C0"/>
            <w:vAlign w:val="bottom"/>
          </w:tcPr>
          <w:p w14:paraId="49D64CFA" w14:textId="77777777" w:rsidR="00672179" w:rsidRPr="00672179" w:rsidRDefault="00672179" w:rsidP="00236C11">
            <w:pPr>
              <w:jc w:val="center"/>
              <w:rPr>
                <w:rFonts w:ascii="Helvetica 55 Roman" w:hAnsi="Helvetica 55 Roman"/>
                <w:bCs/>
                <w:szCs w:val="20"/>
                <w:lang w:val="en-GB" w:eastAsia="nl-NL"/>
              </w:rPr>
            </w:pPr>
            <w:r w:rsidRPr="00672179">
              <w:rPr>
                <w:rFonts w:ascii="Helvetica 55 Roman" w:hAnsi="Helvetica 55 Roman"/>
                <w:b/>
                <w:bCs/>
                <w:szCs w:val="20"/>
                <w:lang w:val="en-GB" w:eastAsia="nl-NL"/>
              </w:rPr>
              <w:t>Full Year 2012</w:t>
            </w:r>
          </w:p>
        </w:tc>
        <w:tc>
          <w:tcPr>
            <w:tcW w:w="1275" w:type="dxa"/>
            <w:shd w:val="clear" w:color="auto" w:fill="C0C0C0"/>
            <w:noWrap/>
            <w:vAlign w:val="bottom"/>
          </w:tcPr>
          <w:p w14:paraId="3D53DD13" w14:textId="77777777" w:rsidR="00672179" w:rsidRPr="00672179" w:rsidRDefault="00672179" w:rsidP="00236C11">
            <w:pPr>
              <w:jc w:val="center"/>
              <w:rPr>
                <w:rFonts w:ascii="Helvetica 55 Roman" w:hAnsi="Helvetica 55 Roman"/>
                <w:bCs/>
                <w:szCs w:val="20"/>
                <w:lang w:val="en-GB" w:eastAsia="nl-NL"/>
              </w:rPr>
            </w:pPr>
            <w:r w:rsidRPr="00672179">
              <w:rPr>
                <w:rFonts w:ascii="Helvetica 55 Roman" w:hAnsi="Helvetica 55 Roman"/>
                <w:b/>
                <w:bCs/>
                <w:szCs w:val="20"/>
                <w:lang w:val="en-GB" w:eastAsia="nl-NL"/>
              </w:rPr>
              <w:t>Variation</w:t>
            </w:r>
          </w:p>
        </w:tc>
      </w:tr>
      <w:tr w:rsidR="00672179" w:rsidRPr="00672179" w14:paraId="783F549F" w14:textId="77777777" w:rsidTr="00CE355E">
        <w:tblPrEx>
          <w:tblCellMar>
            <w:left w:w="108" w:type="dxa"/>
            <w:right w:w="108" w:type="dxa"/>
          </w:tblCellMar>
          <w:tblLook w:val="01E0" w:firstRow="1" w:lastRow="1" w:firstColumn="1" w:lastColumn="1" w:noHBand="0" w:noVBand="0"/>
        </w:tblPrEx>
        <w:trPr>
          <w:trHeight w:val="222"/>
        </w:trPr>
        <w:tc>
          <w:tcPr>
            <w:tcW w:w="4678" w:type="dxa"/>
            <w:vAlign w:val="center"/>
          </w:tcPr>
          <w:p w14:paraId="3853194F" w14:textId="77777777" w:rsidR="00672179" w:rsidRPr="00672179" w:rsidRDefault="00672179" w:rsidP="00236C11">
            <w:pPr>
              <w:pStyle w:val="Header"/>
              <w:rPr>
                <w:rFonts w:ascii="Helvetica 55 Roman" w:hAnsi="Helvetica 55 Roman"/>
                <w:snapToGrid w:val="0"/>
                <w:sz w:val="20"/>
                <w:lang w:val="en-GB"/>
              </w:rPr>
            </w:pPr>
            <w:r w:rsidRPr="00672179">
              <w:rPr>
                <w:rFonts w:ascii="Helvetica 55 Roman" w:hAnsi="Helvetica 55 Roman"/>
                <w:snapToGrid w:val="0"/>
                <w:sz w:val="20"/>
                <w:lang w:val="en-GB"/>
              </w:rPr>
              <w:t xml:space="preserve">Total number of active customers (mobile telephony) </w:t>
            </w:r>
            <w:r w:rsidRPr="00672179">
              <w:rPr>
                <w:rFonts w:ascii="Helvetica 55 Roman" w:hAnsi="Helvetica 55 Roman"/>
                <w:snapToGrid w:val="0"/>
                <w:sz w:val="20"/>
                <w:vertAlign w:val="superscript"/>
                <w:lang w:val="en-GB"/>
              </w:rPr>
              <w:t>(</w:t>
            </w:r>
            <w:r w:rsidRPr="00672179">
              <w:rPr>
                <w:rFonts w:ascii="Helvetica 55 Roman" w:hAnsi="Helvetica 55 Roman"/>
                <w:snapToGrid w:val="0"/>
                <w:sz w:val="20"/>
                <w:vertAlign w:val="superscript"/>
                <w:lang w:val="en-GB"/>
              </w:rPr>
              <w:footnoteReference w:id="1"/>
            </w:r>
            <w:r w:rsidRPr="00672179">
              <w:rPr>
                <w:rFonts w:ascii="Helvetica 55 Roman" w:hAnsi="Helvetica 55 Roman"/>
                <w:snapToGrid w:val="0"/>
                <w:sz w:val="20"/>
                <w:vertAlign w:val="superscript"/>
                <w:lang w:val="en-GB"/>
              </w:rPr>
              <w:t>)</w:t>
            </w:r>
          </w:p>
        </w:tc>
        <w:tc>
          <w:tcPr>
            <w:tcW w:w="1418" w:type="dxa"/>
            <w:vAlign w:val="bottom"/>
          </w:tcPr>
          <w:p w14:paraId="66FEB8B9" w14:textId="77777777" w:rsidR="00672179" w:rsidRPr="00672179" w:rsidDel="00214823"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102,179</w:t>
            </w:r>
          </w:p>
        </w:tc>
        <w:tc>
          <w:tcPr>
            <w:tcW w:w="1134" w:type="dxa"/>
            <w:vAlign w:val="bottom"/>
          </w:tcPr>
          <w:p w14:paraId="550186EB" w14:textId="77777777" w:rsidR="00672179" w:rsidRPr="00672179" w:rsidDel="00214823"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105,805</w:t>
            </w:r>
          </w:p>
        </w:tc>
        <w:tc>
          <w:tcPr>
            <w:tcW w:w="1275" w:type="dxa"/>
            <w:vAlign w:val="bottom"/>
          </w:tcPr>
          <w:p w14:paraId="36A1CCEC" w14:textId="77777777" w:rsidR="00672179" w:rsidRPr="00672179"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-3.4 %</w:t>
            </w:r>
          </w:p>
        </w:tc>
      </w:tr>
      <w:tr w:rsidR="00672179" w:rsidRPr="00672179" w14:paraId="47DDF0C9" w14:textId="77777777" w:rsidTr="00CE355E">
        <w:tblPrEx>
          <w:tblCellMar>
            <w:left w:w="108" w:type="dxa"/>
            <w:right w:w="108" w:type="dxa"/>
          </w:tblCellMar>
          <w:tblLook w:val="01E0" w:firstRow="1" w:lastRow="1" w:firstColumn="1" w:lastColumn="1" w:noHBand="0" w:noVBand="0"/>
        </w:tblPrEx>
        <w:trPr>
          <w:trHeight w:val="222"/>
        </w:trPr>
        <w:tc>
          <w:tcPr>
            <w:tcW w:w="4678" w:type="dxa"/>
            <w:vAlign w:val="center"/>
          </w:tcPr>
          <w:p w14:paraId="309E3E44" w14:textId="77777777" w:rsidR="00672179" w:rsidRPr="00672179" w:rsidRDefault="00672179" w:rsidP="00236C11">
            <w:pPr>
              <w:pStyle w:val="Header"/>
              <w:rPr>
                <w:rFonts w:ascii="Helvetica 55 Roman" w:hAnsi="Helvetica 55 Roman"/>
                <w:snapToGrid w:val="0"/>
                <w:sz w:val="20"/>
                <w:lang w:val="en-GB"/>
              </w:rPr>
            </w:pPr>
            <w:r w:rsidRPr="00672179">
              <w:rPr>
                <w:rFonts w:ascii="Helvetica 55 Roman" w:hAnsi="Helvetica 55 Roman"/>
                <w:snapToGrid w:val="0"/>
                <w:sz w:val="20"/>
                <w:lang w:val="en-GB"/>
              </w:rPr>
              <w:t>ARPU</w:t>
            </w:r>
            <w:r w:rsidRPr="00672179">
              <w:rPr>
                <w:rFonts w:ascii="Helvetica 55 Roman" w:hAnsi="Helvetica 55 Roman"/>
                <w:snapToGrid w:val="0"/>
                <w:sz w:val="20"/>
                <w:vertAlign w:val="superscript"/>
                <w:lang w:val="en-GB"/>
              </w:rPr>
              <w:t>(</w:t>
            </w:r>
            <w:r w:rsidRPr="00672179">
              <w:rPr>
                <w:rFonts w:ascii="Helvetica 55 Roman" w:hAnsi="Helvetica 55 Roman"/>
                <w:snapToGrid w:val="0"/>
                <w:sz w:val="20"/>
                <w:vertAlign w:val="superscript"/>
                <w:lang w:val="en-GB"/>
              </w:rPr>
              <w:footnoteReference w:id="2"/>
            </w:r>
            <w:r w:rsidRPr="00672179">
              <w:rPr>
                <w:rFonts w:ascii="Helvetica 55 Roman" w:hAnsi="Helvetica 55 Roman"/>
                <w:snapToGrid w:val="0"/>
                <w:sz w:val="20"/>
                <w:vertAlign w:val="superscript"/>
                <w:lang w:val="en-GB"/>
              </w:rPr>
              <w:t xml:space="preserve">) </w:t>
            </w:r>
            <w:r w:rsidRPr="00672179">
              <w:rPr>
                <w:rFonts w:ascii="Helvetica 55 Roman" w:hAnsi="Helvetica 55 Roman"/>
                <w:snapToGrid w:val="0"/>
                <w:sz w:val="20"/>
                <w:lang w:val="en-GB"/>
              </w:rPr>
              <w:t>(€/month/active customer)</w:t>
            </w:r>
          </w:p>
        </w:tc>
        <w:tc>
          <w:tcPr>
            <w:tcW w:w="1418" w:type="dxa"/>
            <w:vAlign w:val="bottom"/>
          </w:tcPr>
          <w:p w14:paraId="41C77CC3" w14:textId="77777777" w:rsidR="00672179" w:rsidRPr="00672179" w:rsidDel="00214823"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50.15</w:t>
            </w:r>
          </w:p>
        </w:tc>
        <w:tc>
          <w:tcPr>
            <w:tcW w:w="1134" w:type="dxa"/>
            <w:vAlign w:val="bottom"/>
          </w:tcPr>
          <w:p w14:paraId="1D0A1850" w14:textId="77777777" w:rsidR="00672179" w:rsidRPr="00672179" w:rsidDel="00214823"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51.88</w:t>
            </w:r>
          </w:p>
        </w:tc>
        <w:tc>
          <w:tcPr>
            <w:tcW w:w="1275" w:type="dxa"/>
            <w:vAlign w:val="bottom"/>
          </w:tcPr>
          <w:p w14:paraId="275375E1" w14:textId="77777777" w:rsidR="00672179" w:rsidRPr="00672179" w:rsidRDefault="00672179" w:rsidP="00236C11">
            <w:pPr>
              <w:jc w:val="right"/>
              <w:rPr>
                <w:rFonts w:ascii="Helvetica 55 Roman" w:hAnsi="Helvetica 55 Roman" w:cs="Arial"/>
                <w:sz w:val="20"/>
                <w:szCs w:val="20"/>
                <w:lang w:val="en-GB"/>
              </w:rPr>
            </w:pPr>
            <w:r w:rsidRPr="00672179">
              <w:rPr>
                <w:rFonts w:ascii="Helvetica 55 Roman" w:hAnsi="Helvetica 55 Roman" w:cs="Arial"/>
                <w:sz w:val="20"/>
                <w:szCs w:val="20"/>
                <w:lang w:val="en-GB"/>
              </w:rPr>
              <w:t>-3.3 %</w:t>
            </w:r>
          </w:p>
        </w:tc>
      </w:tr>
    </w:tbl>
    <w:p w14:paraId="286B23C4" w14:textId="77777777" w:rsidR="00672179" w:rsidRPr="00672179" w:rsidRDefault="00672179" w:rsidP="00DF1464">
      <w:pPr>
        <w:jc w:val="both"/>
        <w:rPr>
          <w:rFonts w:ascii="Helvetica 55 Roman" w:eastAsia="Times New Roman" w:hAnsi="Helvetica 55 Roman"/>
          <w:lang w:val="en-GB"/>
        </w:rPr>
      </w:pPr>
    </w:p>
    <w:p w14:paraId="3147DA64" w14:textId="77777777" w:rsidR="00672179" w:rsidRPr="00672179" w:rsidRDefault="00672179" w:rsidP="00DF1464">
      <w:pPr>
        <w:jc w:val="both"/>
        <w:rPr>
          <w:rFonts w:ascii="Helvetica 55 Roman" w:eastAsia="Times New Roman" w:hAnsi="Helvetica 55 Roman"/>
          <w:lang w:val="en-GB"/>
        </w:rPr>
      </w:pPr>
    </w:p>
    <w:p w14:paraId="2C91ED0B" w14:textId="04836AB3" w:rsidR="00672179" w:rsidRPr="00672179" w:rsidRDefault="00672179" w:rsidP="00672179">
      <w:pPr>
        <w:pStyle w:val="BodyTextIndent"/>
        <w:jc w:val="both"/>
        <w:rPr>
          <w:rFonts w:ascii="Helvetica 55 Roman" w:hAnsi="Helvetica 55 Roman" w:cs="Times New Roman"/>
          <w:bCs/>
          <w:i w:val="0"/>
          <w:iCs w:val="0"/>
          <w:sz w:val="22"/>
          <w:szCs w:val="22"/>
          <w:lang w:val="en-GB" w:eastAsia="en-US"/>
        </w:rPr>
      </w:pPr>
      <w:r w:rsidRPr="00672179">
        <w:rPr>
          <w:rFonts w:ascii="Helvetica 55 Roman" w:hAnsi="Helvetica 55 Roman" w:cs="Times New Roman"/>
          <w:bCs/>
          <w:i w:val="0"/>
          <w:iCs w:val="0"/>
          <w:sz w:val="22"/>
          <w:szCs w:val="22"/>
          <w:lang w:val="en-GB" w:eastAsia="en-US"/>
        </w:rPr>
        <w:t>At the end of December 2013, Orange Communications Luxembourg S.A. had a total of 102,179 active mobile telephony customers, a decline of 3.4 % compared to the 105,805 active customers recorded a year earlier. However</w:t>
      </w:r>
      <w:r w:rsidR="00CE355E">
        <w:rPr>
          <w:rFonts w:ascii="Helvetica 55 Roman" w:hAnsi="Helvetica 55 Roman" w:cs="Times New Roman"/>
          <w:bCs/>
          <w:i w:val="0"/>
          <w:iCs w:val="0"/>
          <w:sz w:val="22"/>
          <w:szCs w:val="22"/>
          <w:lang w:val="en-GB" w:eastAsia="en-US"/>
        </w:rPr>
        <w:t>,</w:t>
      </w:r>
      <w:r w:rsidRPr="00672179">
        <w:rPr>
          <w:rFonts w:ascii="Helvetica 55 Roman" w:hAnsi="Helvetica 55 Roman" w:cs="Times New Roman"/>
          <w:bCs/>
          <w:i w:val="0"/>
          <w:iCs w:val="0"/>
          <w:sz w:val="22"/>
          <w:szCs w:val="22"/>
          <w:lang w:val="en-GB" w:eastAsia="en-US"/>
        </w:rPr>
        <w:t xml:space="preserve"> compared to the weaker third quarter, the subscriber base rebounded slightly in the fourth quarter. </w:t>
      </w:r>
      <w:r w:rsidR="00CE355E">
        <w:rPr>
          <w:rFonts w:ascii="Helvetica 55 Roman" w:hAnsi="Helvetica 55 Roman" w:cs="Times New Roman"/>
          <w:bCs/>
          <w:i w:val="0"/>
          <w:iCs w:val="0"/>
          <w:sz w:val="22"/>
          <w:szCs w:val="22"/>
          <w:lang w:val="en-GB" w:eastAsia="en-US"/>
        </w:rPr>
        <w:t>P</w:t>
      </w:r>
      <w:r w:rsidRPr="00672179">
        <w:rPr>
          <w:rFonts w:ascii="Helvetica 55 Roman" w:hAnsi="Helvetica 55 Roman" w:cs="Times New Roman"/>
          <w:bCs/>
          <w:i w:val="0"/>
          <w:iCs w:val="0"/>
          <w:sz w:val="22"/>
          <w:szCs w:val="22"/>
          <w:lang w:val="en-GB" w:eastAsia="en-US"/>
        </w:rPr>
        <w:t>articular</w:t>
      </w:r>
      <w:r w:rsidR="00CE355E">
        <w:rPr>
          <w:rFonts w:ascii="Helvetica 55 Roman" w:hAnsi="Helvetica 55 Roman" w:cs="Times New Roman"/>
          <w:bCs/>
          <w:i w:val="0"/>
          <w:iCs w:val="0"/>
          <w:sz w:val="22"/>
          <w:szCs w:val="22"/>
          <w:lang w:val="en-GB" w:eastAsia="en-US"/>
        </w:rPr>
        <w:t>ly</w:t>
      </w:r>
      <w:r w:rsidRPr="00672179">
        <w:rPr>
          <w:rFonts w:ascii="Helvetica 55 Roman" w:hAnsi="Helvetica 55 Roman" w:cs="Times New Roman"/>
          <w:bCs/>
          <w:i w:val="0"/>
          <w:iCs w:val="0"/>
          <w:sz w:val="22"/>
          <w:szCs w:val="22"/>
          <w:lang w:val="en-GB" w:eastAsia="en-US"/>
        </w:rPr>
        <w:t xml:space="preserve"> the </w:t>
      </w:r>
      <w:proofErr w:type="spellStart"/>
      <w:r w:rsidRPr="00672179">
        <w:rPr>
          <w:rFonts w:ascii="Helvetica 55 Roman" w:hAnsi="Helvetica 55 Roman" w:cs="Times New Roman"/>
          <w:bCs/>
          <w:i w:val="0"/>
          <w:iCs w:val="0"/>
          <w:sz w:val="22"/>
          <w:szCs w:val="22"/>
          <w:lang w:val="en-GB" w:eastAsia="en-US"/>
        </w:rPr>
        <w:t>postpaid</w:t>
      </w:r>
      <w:proofErr w:type="spellEnd"/>
      <w:r w:rsidRPr="00672179">
        <w:rPr>
          <w:rFonts w:ascii="Helvetica 55 Roman" w:hAnsi="Helvetica 55 Roman" w:cs="Times New Roman"/>
          <w:bCs/>
          <w:i w:val="0"/>
          <w:iCs w:val="0"/>
          <w:sz w:val="22"/>
          <w:szCs w:val="22"/>
          <w:lang w:val="en-GB" w:eastAsia="en-US"/>
        </w:rPr>
        <w:t xml:space="preserve"> residential customer base performed solid towards the end of the year, driven by the commercial success of the enhanced tariff plans, all now including international calls, roaming and even 4G for the higher-end. The ARPU amounted to 50.15 euro per month per active customer at the end of 2013, compared to 51.88 euro during the same period a year earlier. The ARPU decline is largely explained by lower roaming revenues following the launch of Hello Europe (allowing roaming calls and SMS, within the subscriptions) and the introduction of SIM-only offers on the Luxembourg market. The business segment, which suffered from high churn during the first six months of 2013, was able to show a stabilization in the second half of the year, thanks to the renewal of some big corporate </w:t>
      </w:r>
      <w:r w:rsidR="00CE355E">
        <w:rPr>
          <w:rFonts w:ascii="Helvetica 55 Roman" w:hAnsi="Helvetica 55 Roman" w:cs="Times New Roman"/>
          <w:bCs/>
          <w:i w:val="0"/>
          <w:iCs w:val="0"/>
          <w:sz w:val="22"/>
          <w:szCs w:val="22"/>
          <w:lang w:val="en-GB" w:eastAsia="en-US"/>
        </w:rPr>
        <w:t>contracts</w:t>
      </w:r>
      <w:r w:rsidR="00F22F3F">
        <w:rPr>
          <w:rFonts w:ascii="Helvetica 55 Roman" w:hAnsi="Helvetica 55 Roman" w:cs="Times New Roman"/>
          <w:bCs/>
          <w:i w:val="0"/>
          <w:iCs w:val="0"/>
          <w:sz w:val="22"/>
          <w:szCs w:val="22"/>
          <w:lang w:val="en-GB" w:eastAsia="en-US"/>
        </w:rPr>
        <w:t xml:space="preserve"> </w:t>
      </w:r>
      <w:r w:rsidRPr="00672179">
        <w:rPr>
          <w:rFonts w:ascii="Helvetica 55 Roman" w:hAnsi="Helvetica 55 Roman" w:cs="Times New Roman"/>
          <w:bCs/>
          <w:i w:val="0"/>
          <w:iCs w:val="0"/>
          <w:sz w:val="22"/>
          <w:szCs w:val="22"/>
          <w:lang w:val="en-GB" w:eastAsia="en-US"/>
        </w:rPr>
        <w:t xml:space="preserve">and the </w:t>
      </w:r>
      <w:r w:rsidR="00CE355E">
        <w:rPr>
          <w:rFonts w:ascii="Helvetica 55 Roman" w:hAnsi="Helvetica 55 Roman" w:cs="Times New Roman"/>
          <w:bCs/>
          <w:i w:val="0"/>
          <w:iCs w:val="0"/>
          <w:sz w:val="22"/>
          <w:szCs w:val="22"/>
          <w:lang w:val="en-GB" w:eastAsia="en-US"/>
        </w:rPr>
        <w:t xml:space="preserve">launch </w:t>
      </w:r>
      <w:r w:rsidRPr="00672179">
        <w:rPr>
          <w:rFonts w:ascii="Helvetica 55 Roman" w:hAnsi="Helvetica 55 Roman" w:cs="Times New Roman"/>
          <w:bCs/>
          <w:i w:val="0"/>
          <w:iCs w:val="0"/>
          <w:sz w:val="22"/>
          <w:szCs w:val="22"/>
          <w:lang w:val="en-GB" w:eastAsia="en-US"/>
        </w:rPr>
        <w:t xml:space="preserve">of a </w:t>
      </w:r>
      <w:r w:rsidR="008C02D7">
        <w:rPr>
          <w:rFonts w:ascii="Helvetica 55 Roman" w:hAnsi="Helvetica 55 Roman" w:cs="Times New Roman"/>
          <w:bCs/>
          <w:i w:val="0"/>
          <w:iCs w:val="0"/>
          <w:sz w:val="22"/>
          <w:szCs w:val="22"/>
          <w:lang w:val="en-GB" w:eastAsia="en-US"/>
        </w:rPr>
        <w:t>“</w:t>
      </w:r>
      <w:proofErr w:type="spellStart"/>
      <w:r w:rsidRPr="00672179">
        <w:rPr>
          <w:rFonts w:ascii="Helvetica 55 Roman" w:hAnsi="Helvetica 55 Roman" w:cs="Times New Roman"/>
          <w:bCs/>
          <w:i w:val="0"/>
          <w:iCs w:val="0"/>
          <w:sz w:val="22"/>
          <w:szCs w:val="22"/>
          <w:lang w:val="en-GB" w:eastAsia="en-US"/>
        </w:rPr>
        <w:t>smartpro</w:t>
      </w:r>
      <w:proofErr w:type="spellEnd"/>
      <w:r w:rsidR="008C02D7">
        <w:rPr>
          <w:rFonts w:ascii="Helvetica 55 Roman" w:hAnsi="Helvetica 55 Roman" w:cs="Times New Roman"/>
          <w:bCs/>
          <w:i w:val="0"/>
          <w:iCs w:val="0"/>
          <w:sz w:val="22"/>
          <w:szCs w:val="22"/>
          <w:lang w:val="en-GB" w:eastAsia="en-US"/>
        </w:rPr>
        <w:t>”</w:t>
      </w:r>
      <w:r w:rsidRPr="00672179">
        <w:rPr>
          <w:rFonts w:ascii="Helvetica 55 Roman" w:hAnsi="Helvetica 55 Roman" w:cs="Times New Roman"/>
          <w:bCs/>
          <w:i w:val="0"/>
          <w:iCs w:val="0"/>
          <w:sz w:val="22"/>
          <w:szCs w:val="22"/>
          <w:lang w:val="en-GB" w:eastAsia="en-US"/>
        </w:rPr>
        <w:t xml:space="preserve"> offer in the 1</w:t>
      </w:r>
      <w:r>
        <w:rPr>
          <w:rFonts w:ascii="Helvetica 55 Roman" w:hAnsi="Helvetica 55 Roman" w:cs="Times New Roman"/>
          <w:bCs/>
          <w:i w:val="0"/>
          <w:iCs w:val="0"/>
          <w:sz w:val="22"/>
          <w:szCs w:val="22"/>
          <w:lang w:val="en-GB" w:eastAsia="en-US"/>
        </w:rPr>
        <w:t>7</w:t>
      </w:r>
      <w:r w:rsidRPr="00672179">
        <w:rPr>
          <w:rFonts w:ascii="Helvetica 55 Roman" w:hAnsi="Helvetica 55 Roman" w:cs="Times New Roman"/>
          <w:bCs/>
          <w:i w:val="0"/>
          <w:iCs w:val="0"/>
          <w:sz w:val="22"/>
          <w:szCs w:val="22"/>
          <w:lang w:val="en-GB" w:eastAsia="en-US"/>
        </w:rPr>
        <w:t xml:space="preserve"> Orange shops.</w:t>
      </w:r>
    </w:p>
    <w:p w14:paraId="753F9A1B" w14:textId="77777777" w:rsidR="00672179" w:rsidRPr="00672179" w:rsidRDefault="00672179" w:rsidP="00672179">
      <w:pPr>
        <w:pStyle w:val="BodyTextIndent"/>
        <w:jc w:val="both"/>
        <w:rPr>
          <w:rFonts w:ascii="Helvetica 55 Roman" w:hAnsi="Helvetica 55 Roman" w:cs="Times New Roman"/>
          <w:bCs/>
          <w:i w:val="0"/>
          <w:iCs w:val="0"/>
          <w:sz w:val="22"/>
          <w:szCs w:val="22"/>
          <w:lang w:val="en-GB" w:eastAsia="en-US"/>
        </w:rPr>
      </w:pPr>
    </w:p>
    <w:p w14:paraId="2407F938" w14:textId="77777777" w:rsidR="00672179" w:rsidRPr="00672179" w:rsidRDefault="00672179" w:rsidP="00672179">
      <w:pPr>
        <w:pStyle w:val="BodyTextIndent"/>
        <w:jc w:val="both"/>
        <w:rPr>
          <w:rFonts w:ascii="Helvetica 55 Roman" w:hAnsi="Helvetica 55 Roman" w:cs="Times New Roman"/>
          <w:bCs/>
          <w:i w:val="0"/>
          <w:iCs w:val="0"/>
          <w:sz w:val="22"/>
          <w:szCs w:val="22"/>
          <w:lang w:val="en-GB" w:eastAsia="en-US"/>
        </w:rPr>
      </w:pPr>
      <w:r w:rsidRPr="00672179">
        <w:rPr>
          <w:rFonts w:ascii="Helvetica 55 Roman" w:hAnsi="Helvetica 55 Roman" w:cs="Times New Roman"/>
          <w:bCs/>
          <w:i w:val="0"/>
          <w:iCs w:val="0"/>
          <w:sz w:val="22"/>
          <w:szCs w:val="22"/>
          <w:lang w:val="en-GB" w:eastAsia="en-US"/>
        </w:rPr>
        <w:t xml:space="preserve">Since October 2013, Orange Communications Luxembourg offers 4G to its customers within a set </w:t>
      </w:r>
      <w:r w:rsidR="00CE355E">
        <w:rPr>
          <w:rFonts w:ascii="Helvetica 55 Roman" w:hAnsi="Helvetica 55 Roman" w:cs="Times New Roman"/>
          <w:bCs/>
          <w:i w:val="0"/>
          <w:iCs w:val="0"/>
          <w:sz w:val="22"/>
          <w:szCs w:val="22"/>
          <w:lang w:val="en-GB" w:eastAsia="en-US"/>
        </w:rPr>
        <w:t xml:space="preserve">of </w:t>
      </w:r>
      <w:r w:rsidRPr="00672179">
        <w:rPr>
          <w:rFonts w:ascii="Helvetica 55 Roman" w:hAnsi="Helvetica 55 Roman" w:cs="Times New Roman"/>
          <w:bCs/>
          <w:i w:val="0"/>
          <w:iCs w:val="0"/>
          <w:sz w:val="22"/>
          <w:szCs w:val="22"/>
          <w:lang w:val="en-GB" w:eastAsia="en-US"/>
        </w:rPr>
        <w:t xml:space="preserve">tariff plans. 4G is included in Hello Europe Flat Surf and Hello Europe All Inclusive packages. Customers can also activate 4G with other packages. 4G is also available with </w:t>
      </w:r>
      <w:r w:rsidR="00CE355E">
        <w:rPr>
          <w:rFonts w:ascii="Helvetica 55 Roman" w:hAnsi="Helvetica 55 Roman" w:cs="Times New Roman"/>
          <w:bCs/>
          <w:i w:val="0"/>
          <w:iCs w:val="0"/>
          <w:sz w:val="22"/>
          <w:szCs w:val="22"/>
          <w:lang w:val="en-GB" w:eastAsia="en-US"/>
        </w:rPr>
        <w:t>“</w:t>
      </w:r>
      <w:r w:rsidRPr="00672179">
        <w:rPr>
          <w:rFonts w:ascii="Helvetica 55 Roman" w:hAnsi="Helvetica 55 Roman" w:cs="Times New Roman"/>
          <w:bCs/>
          <w:i w:val="0"/>
          <w:iCs w:val="0"/>
          <w:sz w:val="22"/>
          <w:szCs w:val="22"/>
          <w:lang w:val="en-GB" w:eastAsia="en-US"/>
        </w:rPr>
        <w:t>Internet Everywhere</w:t>
      </w:r>
      <w:r w:rsidR="00CE355E">
        <w:rPr>
          <w:rFonts w:ascii="Helvetica 55 Roman" w:hAnsi="Helvetica 55 Roman" w:cs="Times New Roman"/>
          <w:bCs/>
          <w:i w:val="0"/>
          <w:iCs w:val="0"/>
          <w:sz w:val="22"/>
          <w:szCs w:val="22"/>
          <w:lang w:val="en-GB" w:eastAsia="en-US"/>
        </w:rPr>
        <w:t>” packages which allow</w:t>
      </w:r>
      <w:r w:rsidRPr="00672179">
        <w:rPr>
          <w:rFonts w:ascii="Helvetica 55 Roman" w:hAnsi="Helvetica 55 Roman" w:cs="Times New Roman"/>
          <w:bCs/>
          <w:i w:val="0"/>
          <w:iCs w:val="0"/>
          <w:sz w:val="22"/>
          <w:szCs w:val="22"/>
          <w:lang w:val="en-GB" w:eastAsia="en-US"/>
        </w:rPr>
        <w:t xml:space="preserve"> customers to use</w:t>
      </w:r>
      <w:r w:rsidR="00CE355E">
        <w:rPr>
          <w:rFonts w:ascii="Helvetica 55 Roman" w:hAnsi="Helvetica 55 Roman" w:cs="Times New Roman"/>
          <w:bCs/>
          <w:i w:val="0"/>
          <w:iCs w:val="0"/>
          <w:sz w:val="22"/>
          <w:szCs w:val="22"/>
          <w:lang w:val="en-GB" w:eastAsia="en-US"/>
        </w:rPr>
        <w:t xml:space="preserve"> the Orange 4G network on their</w:t>
      </w:r>
      <w:r w:rsidRPr="00672179">
        <w:rPr>
          <w:rFonts w:ascii="Helvetica 55 Roman" w:hAnsi="Helvetica 55 Roman" w:cs="Times New Roman"/>
          <w:bCs/>
          <w:i w:val="0"/>
          <w:iCs w:val="0"/>
          <w:sz w:val="22"/>
          <w:szCs w:val="22"/>
          <w:lang w:val="en-GB" w:eastAsia="en-US"/>
        </w:rPr>
        <w:t xml:space="preserve"> laptops or tablets. The company accelerated its 4G deployment plan, aiming a 90 % population coverage by beginning 2015.</w:t>
      </w:r>
    </w:p>
    <w:p w14:paraId="60F0931D" w14:textId="77777777" w:rsidR="00672179" w:rsidRPr="00672179" w:rsidRDefault="00672179" w:rsidP="00672179">
      <w:pPr>
        <w:pStyle w:val="BodyTextIndent"/>
        <w:jc w:val="both"/>
        <w:rPr>
          <w:rFonts w:ascii="Helvetica 55 Roman" w:hAnsi="Helvetica 55 Roman" w:cs="Times New Roman"/>
          <w:bCs/>
          <w:i w:val="0"/>
          <w:iCs w:val="0"/>
          <w:sz w:val="22"/>
          <w:szCs w:val="22"/>
          <w:lang w:val="en-GB" w:eastAsia="en-US"/>
        </w:rPr>
      </w:pPr>
    </w:p>
    <w:p w14:paraId="08489B1A" w14:textId="77777777" w:rsidR="00991BB1" w:rsidRDefault="00991BB1" w:rsidP="00672179">
      <w:pPr>
        <w:pStyle w:val="BodyTextIndent"/>
        <w:jc w:val="both"/>
        <w:rPr>
          <w:rFonts w:ascii="Helvetica 55 Roman" w:hAnsi="Helvetica 55 Roman" w:cs="Times New Roman"/>
          <w:bCs/>
          <w:i w:val="0"/>
          <w:iCs w:val="0"/>
          <w:sz w:val="22"/>
          <w:szCs w:val="22"/>
          <w:lang w:val="en-GB" w:eastAsia="en-US"/>
        </w:rPr>
      </w:pPr>
    </w:p>
    <w:p w14:paraId="6472E692" w14:textId="77777777" w:rsidR="00991BB1" w:rsidRDefault="00991BB1" w:rsidP="00672179">
      <w:pPr>
        <w:pStyle w:val="BodyTextIndent"/>
        <w:jc w:val="both"/>
        <w:rPr>
          <w:rFonts w:ascii="Helvetica 55 Roman" w:hAnsi="Helvetica 55 Roman" w:cs="Times New Roman"/>
          <w:bCs/>
          <w:i w:val="0"/>
          <w:iCs w:val="0"/>
          <w:sz w:val="22"/>
          <w:szCs w:val="22"/>
          <w:lang w:val="en-GB" w:eastAsia="en-US"/>
        </w:rPr>
      </w:pPr>
    </w:p>
    <w:p w14:paraId="27045CBC" w14:textId="77777777" w:rsidR="00991BB1" w:rsidRDefault="00991BB1" w:rsidP="00672179">
      <w:pPr>
        <w:pStyle w:val="BodyTextIndent"/>
        <w:jc w:val="both"/>
        <w:rPr>
          <w:rFonts w:ascii="Helvetica 55 Roman" w:hAnsi="Helvetica 55 Roman" w:cs="Times New Roman"/>
          <w:bCs/>
          <w:i w:val="0"/>
          <w:iCs w:val="0"/>
          <w:sz w:val="22"/>
          <w:szCs w:val="22"/>
          <w:lang w:val="en-GB" w:eastAsia="en-US"/>
        </w:rPr>
      </w:pPr>
    </w:p>
    <w:p w14:paraId="6D666F23" w14:textId="77777777" w:rsidR="00991BB1" w:rsidRDefault="00991BB1" w:rsidP="00672179">
      <w:pPr>
        <w:pStyle w:val="BodyTextIndent"/>
        <w:jc w:val="both"/>
        <w:rPr>
          <w:rFonts w:ascii="Helvetica 55 Roman" w:hAnsi="Helvetica 55 Roman" w:cs="Times New Roman"/>
          <w:bCs/>
          <w:i w:val="0"/>
          <w:iCs w:val="0"/>
          <w:sz w:val="22"/>
          <w:szCs w:val="22"/>
          <w:lang w:val="en-GB" w:eastAsia="en-US"/>
        </w:rPr>
      </w:pPr>
    </w:p>
    <w:p w14:paraId="0DC27F90" w14:textId="77777777" w:rsidR="00991BB1" w:rsidRDefault="00991BB1" w:rsidP="00672179">
      <w:pPr>
        <w:pStyle w:val="BodyTextIndent"/>
        <w:jc w:val="both"/>
        <w:rPr>
          <w:rFonts w:ascii="Helvetica 55 Roman" w:hAnsi="Helvetica 55 Roman" w:cs="Times New Roman"/>
          <w:bCs/>
          <w:i w:val="0"/>
          <w:iCs w:val="0"/>
          <w:sz w:val="22"/>
          <w:szCs w:val="22"/>
          <w:lang w:val="en-GB" w:eastAsia="en-US"/>
        </w:rPr>
      </w:pPr>
    </w:p>
    <w:p w14:paraId="79A475E0" w14:textId="77777777" w:rsidR="00991BB1" w:rsidRDefault="00991BB1" w:rsidP="00672179">
      <w:pPr>
        <w:pStyle w:val="BodyTextIndent"/>
        <w:jc w:val="both"/>
        <w:rPr>
          <w:rFonts w:ascii="Helvetica 55 Roman" w:hAnsi="Helvetica 55 Roman" w:cs="Times New Roman"/>
          <w:bCs/>
          <w:i w:val="0"/>
          <w:iCs w:val="0"/>
          <w:sz w:val="22"/>
          <w:szCs w:val="22"/>
          <w:lang w:val="en-GB" w:eastAsia="en-US"/>
        </w:rPr>
      </w:pPr>
    </w:p>
    <w:p w14:paraId="354B05EA" w14:textId="77777777" w:rsidR="00672179" w:rsidRDefault="00672179" w:rsidP="00672179">
      <w:pPr>
        <w:pStyle w:val="BodyTextIndent"/>
        <w:jc w:val="both"/>
        <w:rPr>
          <w:rFonts w:ascii="Helvetica 55 Roman" w:hAnsi="Helvetica 55 Roman" w:cs="Times New Roman"/>
          <w:bCs/>
          <w:i w:val="0"/>
          <w:iCs w:val="0"/>
          <w:sz w:val="22"/>
          <w:szCs w:val="22"/>
          <w:lang w:val="en-GB" w:eastAsia="en-US"/>
        </w:rPr>
      </w:pPr>
      <w:r w:rsidRPr="00672179">
        <w:rPr>
          <w:rFonts w:ascii="Helvetica 55 Roman" w:hAnsi="Helvetica 55 Roman" w:cs="Times New Roman"/>
          <w:bCs/>
          <w:i w:val="0"/>
          <w:iCs w:val="0"/>
          <w:sz w:val="22"/>
          <w:szCs w:val="22"/>
          <w:lang w:val="en-GB" w:eastAsia="en-US"/>
        </w:rPr>
        <w:t xml:space="preserve">In November 2013, Orange Communications Luxembourg started to commercially leverage the deal it has signed with the cable company </w:t>
      </w:r>
      <w:proofErr w:type="spellStart"/>
      <w:r w:rsidRPr="00672179">
        <w:rPr>
          <w:rFonts w:ascii="Helvetica 55 Roman" w:hAnsi="Helvetica 55 Roman" w:cs="Times New Roman"/>
          <w:bCs/>
          <w:i w:val="0"/>
          <w:iCs w:val="0"/>
          <w:sz w:val="22"/>
          <w:szCs w:val="22"/>
          <w:lang w:val="en-GB" w:eastAsia="en-US"/>
        </w:rPr>
        <w:t>Eltrona</w:t>
      </w:r>
      <w:proofErr w:type="spellEnd"/>
      <w:r w:rsidRPr="00672179">
        <w:rPr>
          <w:rFonts w:ascii="Helvetica 55 Roman" w:hAnsi="Helvetica 55 Roman" w:cs="Times New Roman"/>
          <w:bCs/>
          <w:i w:val="0"/>
          <w:iCs w:val="0"/>
          <w:sz w:val="22"/>
          <w:szCs w:val="22"/>
          <w:lang w:val="en-GB" w:eastAsia="en-US"/>
        </w:rPr>
        <w:t xml:space="preserve"> Telecom, to offer its customers convergent services combining mobile and fixed telephony, broadband Internet access via mobile and cable and a completely new television offer. The preliminary results are very encouraging as almost 30 % of the customers opting for this quad-play offering are new customers without prior mobile subscriptions with Orange Communications Luxembourg.</w:t>
      </w:r>
    </w:p>
    <w:p w14:paraId="1A2EBF72" w14:textId="77777777" w:rsidR="00F16AB2" w:rsidRDefault="00F16AB2" w:rsidP="00672179">
      <w:pPr>
        <w:pStyle w:val="BodyTextIndent"/>
        <w:jc w:val="both"/>
        <w:rPr>
          <w:rFonts w:ascii="Helvetica 55 Roman" w:hAnsi="Helvetica 55 Roman" w:cs="Times New Roman"/>
          <w:bCs/>
          <w:i w:val="0"/>
          <w:iCs w:val="0"/>
          <w:sz w:val="22"/>
          <w:szCs w:val="22"/>
          <w:lang w:val="en-GB" w:eastAsia="en-US"/>
        </w:rPr>
      </w:pPr>
    </w:p>
    <w:p w14:paraId="0E733F4D" w14:textId="77777777" w:rsidR="00F16AB2" w:rsidRPr="00672179" w:rsidRDefault="0095227B" w:rsidP="00672179">
      <w:pPr>
        <w:pStyle w:val="BodyTextIndent"/>
        <w:jc w:val="both"/>
        <w:rPr>
          <w:rFonts w:ascii="Helvetica 55 Roman" w:hAnsi="Helvetica 55 Roman" w:cs="Times New Roman"/>
          <w:bCs/>
          <w:i w:val="0"/>
          <w:iCs w:val="0"/>
          <w:sz w:val="22"/>
          <w:szCs w:val="22"/>
          <w:lang w:val="en-GB" w:eastAsia="en-US"/>
        </w:rPr>
      </w:pPr>
      <w:r>
        <w:rPr>
          <w:rFonts w:ascii="Helvetica 55 Roman" w:hAnsi="Helvetica 55 Roman" w:cs="Times New Roman"/>
          <w:bCs/>
          <w:i w:val="0"/>
          <w:iCs w:val="0"/>
          <w:sz w:val="22"/>
          <w:szCs w:val="22"/>
          <w:lang w:val="en-GB" w:eastAsia="en-US"/>
        </w:rPr>
        <w:t>In terms of network</w:t>
      </w:r>
      <w:r w:rsidR="008E6EB8">
        <w:rPr>
          <w:rFonts w:ascii="Helvetica 55 Roman" w:hAnsi="Helvetica 55 Roman" w:cs="Times New Roman"/>
          <w:bCs/>
          <w:i w:val="0"/>
          <w:iCs w:val="0"/>
          <w:sz w:val="22"/>
          <w:szCs w:val="22"/>
          <w:lang w:val="en-GB" w:eastAsia="en-US"/>
        </w:rPr>
        <w:t>s</w:t>
      </w:r>
      <w:r>
        <w:rPr>
          <w:rFonts w:ascii="Helvetica 55 Roman" w:hAnsi="Helvetica 55 Roman" w:cs="Times New Roman"/>
          <w:bCs/>
          <w:i w:val="0"/>
          <w:iCs w:val="0"/>
          <w:sz w:val="22"/>
          <w:szCs w:val="22"/>
          <w:lang w:val="en-GB" w:eastAsia="en-US"/>
        </w:rPr>
        <w:t xml:space="preserve">, </w:t>
      </w:r>
      <w:r w:rsidR="00F16AB2">
        <w:rPr>
          <w:rFonts w:ascii="Helvetica 55 Roman" w:hAnsi="Helvetica 55 Roman" w:cs="Times New Roman"/>
          <w:bCs/>
          <w:i w:val="0"/>
          <w:iCs w:val="0"/>
          <w:sz w:val="22"/>
          <w:szCs w:val="22"/>
          <w:lang w:val="en-GB" w:eastAsia="en-US"/>
        </w:rPr>
        <w:t>1</w:t>
      </w:r>
      <w:r w:rsidR="000D3FA2">
        <w:rPr>
          <w:rFonts w:ascii="Helvetica 55 Roman" w:hAnsi="Helvetica 55 Roman" w:cs="Times New Roman"/>
          <w:bCs/>
          <w:i w:val="0"/>
          <w:iCs w:val="0"/>
          <w:sz w:val="22"/>
          <w:szCs w:val="22"/>
          <w:lang w:val="en-GB" w:eastAsia="en-US"/>
        </w:rPr>
        <w:t>8</w:t>
      </w:r>
      <w:r w:rsidR="00CE355E">
        <w:rPr>
          <w:rFonts w:ascii="Helvetica 55 Roman" w:hAnsi="Helvetica 55 Roman" w:cs="Times New Roman"/>
          <w:bCs/>
          <w:i w:val="0"/>
          <w:iCs w:val="0"/>
          <w:sz w:val="22"/>
          <w:szCs w:val="22"/>
          <w:lang w:val="en-GB" w:eastAsia="en-US"/>
        </w:rPr>
        <w:t xml:space="preserve"> new sites with not less than</w:t>
      </w:r>
      <w:r w:rsidR="00F16AB2">
        <w:rPr>
          <w:rFonts w:ascii="Helvetica 55 Roman" w:hAnsi="Helvetica 55 Roman" w:cs="Times New Roman"/>
          <w:bCs/>
          <w:i w:val="0"/>
          <w:iCs w:val="0"/>
          <w:sz w:val="22"/>
          <w:szCs w:val="22"/>
          <w:lang w:val="en-GB" w:eastAsia="en-US"/>
        </w:rPr>
        <w:t xml:space="preserve"> 46 antennas have been deployed in the country in 2013, aiming to incre</w:t>
      </w:r>
      <w:r w:rsidR="00CE355E">
        <w:rPr>
          <w:rFonts w:ascii="Helvetica 55 Roman" w:hAnsi="Helvetica 55 Roman" w:cs="Times New Roman"/>
          <w:bCs/>
          <w:i w:val="0"/>
          <w:iCs w:val="0"/>
          <w:sz w:val="22"/>
          <w:szCs w:val="22"/>
          <w:lang w:val="en-GB" w:eastAsia="en-US"/>
        </w:rPr>
        <w:t>ase the coverage of the network</w:t>
      </w:r>
      <w:r w:rsidR="00F16AB2">
        <w:rPr>
          <w:rFonts w:ascii="Helvetica 55 Roman" w:hAnsi="Helvetica 55 Roman" w:cs="Times New Roman"/>
          <w:bCs/>
          <w:i w:val="0"/>
          <w:iCs w:val="0"/>
          <w:sz w:val="22"/>
          <w:szCs w:val="22"/>
          <w:lang w:val="en-GB" w:eastAsia="en-US"/>
        </w:rPr>
        <w:t xml:space="preserve"> to provide the connectivity everywhere</w:t>
      </w:r>
      <w:r>
        <w:rPr>
          <w:rFonts w:ascii="Helvetica 55 Roman" w:hAnsi="Helvetica 55 Roman" w:cs="Times New Roman"/>
          <w:bCs/>
          <w:i w:val="0"/>
          <w:iCs w:val="0"/>
          <w:sz w:val="22"/>
          <w:szCs w:val="22"/>
          <w:lang w:val="en-GB" w:eastAsia="en-US"/>
        </w:rPr>
        <w:t xml:space="preserve"> with the latest technologies, less energy consum</w:t>
      </w:r>
      <w:r w:rsidR="00CE355E">
        <w:rPr>
          <w:rFonts w:ascii="Helvetica 55 Roman" w:hAnsi="Helvetica 55 Roman" w:cs="Times New Roman"/>
          <w:bCs/>
          <w:i w:val="0"/>
          <w:iCs w:val="0"/>
          <w:sz w:val="22"/>
          <w:szCs w:val="22"/>
          <w:lang w:val="en-GB" w:eastAsia="en-US"/>
        </w:rPr>
        <w:t>ption</w:t>
      </w:r>
      <w:r>
        <w:rPr>
          <w:rFonts w:ascii="Helvetica 55 Roman" w:hAnsi="Helvetica 55 Roman" w:cs="Times New Roman"/>
          <w:bCs/>
          <w:i w:val="0"/>
          <w:iCs w:val="0"/>
          <w:sz w:val="22"/>
          <w:szCs w:val="22"/>
          <w:lang w:val="en-GB" w:eastAsia="en-US"/>
        </w:rPr>
        <w:t xml:space="preserve"> and ready to accept the drastic increase of data </w:t>
      </w:r>
      <w:r w:rsidR="00CE355E">
        <w:rPr>
          <w:rFonts w:ascii="Helvetica 55 Roman" w:hAnsi="Helvetica 55 Roman" w:cs="Times New Roman"/>
          <w:bCs/>
          <w:i w:val="0"/>
          <w:iCs w:val="0"/>
          <w:sz w:val="22"/>
          <w:szCs w:val="22"/>
          <w:lang w:val="en-GB" w:eastAsia="en-US"/>
        </w:rPr>
        <w:t>traffic</w:t>
      </w:r>
      <w:r>
        <w:rPr>
          <w:rFonts w:ascii="Helvetica 55 Roman" w:hAnsi="Helvetica 55 Roman" w:cs="Times New Roman"/>
          <w:bCs/>
          <w:i w:val="0"/>
          <w:iCs w:val="0"/>
          <w:sz w:val="22"/>
          <w:szCs w:val="22"/>
          <w:lang w:val="en-GB" w:eastAsia="en-US"/>
        </w:rPr>
        <w:t xml:space="preserve"> in the country. </w:t>
      </w:r>
      <w:r w:rsidR="00CE355E">
        <w:rPr>
          <w:rFonts w:ascii="Helvetica 55 Roman" w:hAnsi="Helvetica 55 Roman" w:cs="Times New Roman"/>
          <w:bCs/>
          <w:i w:val="0"/>
          <w:iCs w:val="0"/>
          <w:sz w:val="22"/>
          <w:szCs w:val="22"/>
          <w:lang w:val="en-GB" w:eastAsia="en-US"/>
        </w:rPr>
        <w:t>This</w:t>
      </w:r>
      <w:r w:rsidR="00382DF6">
        <w:rPr>
          <w:rFonts w:ascii="Helvetica 55 Roman" w:hAnsi="Helvetica 55 Roman" w:cs="Times New Roman"/>
          <w:bCs/>
          <w:i w:val="0"/>
          <w:iCs w:val="0"/>
          <w:sz w:val="22"/>
          <w:szCs w:val="22"/>
          <w:lang w:val="en-GB" w:eastAsia="en-US"/>
        </w:rPr>
        <w:t xml:space="preserve"> program will be continued in 2014.</w:t>
      </w:r>
    </w:p>
    <w:p w14:paraId="76501A00" w14:textId="77777777" w:rsidR="00672179" w:rsidRPr="00672179" w:rsidRDefault="00672179" w:rsidP="00DF1464">
      <w:pPr>
        <w:jc w:val="both"/>
        <w:rPr>
          <w:rFonts w:ascii="HelveticaNeueLT Std" w:eastAsia="Times New Roman" w:hAnsi="HelveticaNeueLT Std"/>
          <w:lang w:val="en-GB"/>
        </w:rPr>
      </w:pPr>
    </w:p>
    <w:p w14:paraId="7A027891" w14:textId="77777777" w:rsidR="00AA359B" w:rsidRPr="00672179" w:rsidRDefault="00672179" w:rsidP="00DF1464">
      <w:pPr>
        <w:jc w:val="both"/>
        <w:rPr>
          <w:rFonts w:ascii="Helvetica 55 Roman" w:eastAsia="Times New Roman" w:hAnsi="Helvetica 55 Roman"/>
          <w:i/>
          <w:lang w:val="en-GB"/>
        </w:rPr>
      </w:pPr>
      <w:r w:rsidRPr="00672179">
        <w:rPr>
          <w:rFonts w:ascii="HelveticaNeueLT Std" w:eastAsia="Times New Roman" w:hAnsi="HelveticaNeueLT Std"/>
          <w:i/>
          <w:lang w:val="en-GB"/>
        </w:rPr>
        <w:t xml:space="preserve"> </w:t>
      </w:r>
      <w:r w:rsidR="00C3342F" w:rsidRPr="00672179">
        <w:rPr>
          <w:rFonts w:ascii="HelveticaNeueLT Std" w:eastAsia="Times New Roman" w:hAnsi="HelveticaNeueLT Std"/>
          <w:i/>
          <w:lang w:val="en-GB"/>
        </w:rPr>
        <w:t>“</w:t>
      </w:r>
      <w:r w:rsidR="00B01DDF" w:rsidRPr="00672179">
        <w:rPr>
          <w:rFonts w:ascii="HelveticaNeueLT Std" w:eastAsia="Times New Roman" w:hAnsi="HelveticaNeueLT Std"/>
          <w:i/>
          <w:lang w:val="en-GB"/>
        </w:rPr>
        <w:t xml:space="preserve">Offering to </w:t>
      </w:r>
      <w:r w:rsidR="00F16AB2">
        <w:rPr>
          <w:rFonts w:ascii="HelveticaNeueLT Std" w:eastAsia="Times New Roman" w:hAnsi="HelveticaNeueLT Std"/>
          <w:i/>
          <w:lang w:val="en-GB"/>
        </w:rPr>
        <w:t>the</w:t>
      </w:r>
      <w:r w:rsidR="00B01DDF" w:rsidRPr="00672179">
        <w:rPr>
          <w:rFonts w:ascii="HelveticaNeueLT Std" w:eastAsia="Times New Roman" w:hAnsi="HelveticaNeueLT Std"/>
          <w:i/>
          <w:lang w:val="en-GB"/>
        </w:rPr>
        <w:t xml:space="preserve"> clients, according to their needs, the latest innovations, in terms of networks, services and tariffs</w:t>
      </w:r>
      <w:r w:rsidR="00F16AB2">
        <w:rPr>
          <w:rFonts w:ascii="HelveticaNeueLT Std" w:eastAsia="Times New Roman" w:hAnsi="HelveticaNeueLT Std"/>
          <w:i/>
          <w:lang w:val="en-GB"/>
        </w:rPr>
        <w:t xml:space="preserve"> especially in roaming</w:t>
      </w:r>
      <w:r w:rsidR="00B01DDF" w:rsidRPr="00672179">
        <w:rPr>
          <w:rFonts w:ascii="HelveticaNeueLT Std" w:eastAsia="Times New Roman" w:hAnsi="HelveticaNeueLT Std"/>
          <w:i/>
          <w:lang w:val="en-GB"/>
        </w:rPr>
        <w:t xml:space="preserve"> is part of our </w:t>
      </w:r>
      <w:r w:rsidR="00F16AB2">
        <w:rPr>
          <w:rFonts w:ascii="HelveticaNeueLT Std" w:eastAsia="Times New Roman" w:hAnsi="HelveticaNeueLT Std"/>
          <w:i/>
          <w:lang w:val="en-GB"/>
        </w:rPr>
        <w:t xml:space="preserve">consolidation work to ensure our </w:t>
      </w:r>
      <w:r w:rsidR="00CE355E">
        <w:rPr>
          <w:rFonts w:ascii="HelveticaNeueLT Std" w:eastAsia="Times New Roman" w:hAnsi="HelveticaNeueLT Std"/>
          <w:i/>
          <w:lang w:val="en-GB"/>
        </w:rPr>
        <w:t>growth in Luxembourg.</w:t>
      </w:r>
      <w:r w:rsidR="00F16AB2">
        <w:rPr>
          <w:rFonts w:ascii="HelveticaNeueLT Std" w:eastAsia="Times New Roman" w:hAnsi="HelveticaNeueLT Std"/>
          <w:i/>
          <w:lang w:val="en-GB"/>
        </w:rPr>
        <w:t xml:space="preserve"> In a saturated market, it is </w:t>
      </w:r>
      <w:r w:rsidR="00CE355E">
        <w:rPr>
          <w:rFonts w:ascii="HelveticaNeueLT Std" w:eastAsia="Times New Roman" w:hAnsi="HelveticaNeueLT Std"/>
          <w:i/>
          <w:lang w:val="en-GB"/>
        </w:rPr>
        <w:t>essential</w:t>
      </w:r>
      <w:r w:rsidR="00F16AB2">
        <w:rPr>
          <w:rFonts w:ascii="HelveticaNeueLT Std" w:eastAsia="Times New Roman" w:hAnsi="HelveticaNeueLT Std"/>
          <w:i/>
          <w:lang w:val="en-GB"/>
        </w:rPr>
        <w:t xml:space="preserve"> to provide the latest services and technologies to the customer</w:t>
      </w:r>
      <w:r w:rsidR="00CE355E">
        <w:rPr>
          <w:rFonts w:ascii="HelveticaNeueLT Std" w:eastAsia="Times New Roman" w:hAnsi="HelveticaNeueLT Std"/>
          <w:i/>
          <w:lang w:val="en-GB"/>
        </w:rPr>
        <w:t>s expecting value for money and</w:t>
      </w:r>
      <w:r w:rsidR="00F16AB2">
        <w:rPr>
          <w:rFonts w:ascii="HelveticaNeueLT Std" w:eastAsia="Times New Roman" w:hAnsi="HelveticaNeueLT Std"/>
          <w:i/>
          <w:lang w:val="en-GB"/>
        </w:rPr>
        <w:t xml:space="preserve"> a high level of service. Our </w:t>
      </w:r>
      <w:r w:rsidR="00CE355E">
        <w:rPr>
          <w:rFonts w:ascii="HelveticaNeueLT Std" w:eastAsia="Times New Roman" w:hAnsi="HelveticaNeueLT Std"/>
          <w:i/>
          <w:lang w:val="en-GB"/>
        </w:rPr>
        <w:t xml:space="preserve">brand </w:t>
      </w:r>
      <w:r w:rsidR="00F16AB2">
        <w:rPr>
          <w:rFonts w:ascii="HelveticaNeueLT Std" w:eastAsia="Times New Roman" w:hAnsi="HelveticaNeueLT Std"/>
          <w:i/>
          <w:lang w:val="en-GB"/>
        </w:rPr>
        <w:t xml:space="preserve">ambition is </w:t>
      </w:r>
      <w:r w:rsidR="00CE355E">
        <w:rPr>
          <w:rFonts w:ascii="HelveticaNeueLT Std" w:eastAsia="Times New Roman" w:hAnsi="HelveticaNeueLT Std"/>
          <w:i/>
          <w:lang w:val="en-GB"/>
        </w:rPr>
        <w:t xml:space="preserve">to be the European operator, </w:t>
      </w:r>
      <w:r w:rsidR="00F16AB2">
        <w:rPr>
          <w:rFonts w:ascii="HelveticaNeueLT Std" w:eastAsia="Times New Roman" w:hAnsi="HelveticaNeueLT Std"/>
          <w:i/>
          <w:lang w:val="en-GB"/>
        </w:rPr>
        <w:t>w</w:t>
      </w:r>
      <w:r w:rsidR="00382DF6">
        <w:rPr>
          <w:rFonts w:ascii="HelveticaNeueLT Std" w:eastAsia="Times New Roman" w:hAnsi="HelveticaNeueLT Std"/>
          <w:i/>
          <w:lang w:val="en-GB"/>
        </w:rPr>
        <w:t>ith</w:t>
      </w:r>
      <w:r w:rsidR="00F16AB2">
        <w:rPr>
          <w:rFonts w:ascii="HelveticaNeueLT Std" w:eastAsia="Times New Roman" w:hAnsi="HelveticaNeueLT Std"/>
          <w:i/>
          <w:lang w:val="en-GB"/>
        </w:rPr>
        <w:t xml:space="preserve"> strong roots in Luxembourg. This explains why we always consider partnership with Luxembourgish companies when</w:t>
      </w:r>
      <w:r w:rsidR="00382DF6">
        <w:rPr>
          <w:rFonts w:ascii="HelveticaNeueLT Std" w:eastAsia="Times New Roman" w:hAnsi="HelveticaNeueLT Std"/>
          <w:i/>
          <w:lang w:val="en-GB"/>
        </w:rPr>
        <w:t xml:space="preserve"> relevant</w:t>
      </w:r>
      <w:r w:rsidR="00B01DDF" w:rsidRPr="00672179">
        <w:rPr>
          <w:rFonts w:ascii="HelveticaNeueLT Std" w:eastAsia="Times New Roman" w:hAnsi="HelveticaNeueLT Std"/>
          <w:i/>
          <w:lang w:val="en-GB"/>
        </w:rPr>
        <w:t>”</w:t>
      </w:r>
      <w:r w:rsidR="00B01DDF" w:rsidRPr="00672179">
        <w:rPr>
          <w:rFonts w:ascii="Helvetica 55 Roman" w:eastAsia="Times New Roman" w:hAnsi="Helvetica 55 Roman"/>
          <w:i/>
          <w:lang w:val="en-GB"/>
        </w:rPr>
        <w:t xml:space="preserve"> </w:t>
      </w:r>
      <w:r w:rsidR="00B01DDF" w:rsidRPr="00672179">
        <w:rPr>
          <w:rFonts w:ascii="Helvetica 55 Roman" w:eastAsia="Times New Roman" w:hAnsi="Helvetica 55 Roman"/>
          <w:lang w:val="en-GB"/>
        </w:rPr>
        <w:t xml:space="preserve">said Werner De Laet, CEO of </w:t>
      </w:r>
      <w:r w:rsidR="00FF0471" w:rsidRPr="00672179">
        <w:rPr>
          <w:rFonts w:ascii="Helvetica 55 Roman" w:eastAsia="Times New Roman" w:hAnsi="Helvetica 55 Roman"/>
          <w:lang w:val="en-GB"/>
        </w:rPr>
        <w:t xml:space="preserve">Orange Luxembourg. </w:t>
      </w:r>
    </w:p>
    <w:p w14:paraId="4BD85B92" w14:textId="77777777" w:rsidR="00B01DDF" w:rsidRPr="00672179" w:rsidRDefault="00B01DDF" w:rsidP="00B01DDF">
      <w:pPr>
        <w:widowControl w:val="0"/>
        <w:autoSpaceDE w:val="0"/>
        <w:autoSpaceDN w:val="0"/>
        <w:adjustRightInd w:val="0"/>
        <w:spacing w:after="240"/>
        <w:rPr>
          <w:rFonts w:ascii="Helvetica 55 Roman" w:hAnsi="Helvetica 55 Roman" w:cs="Helvetica Neue"/>
          <w:sz w:val="20"/>
          <w:szCs w:val="20"/>
          <w:lang w:val="en-GB"/>
        </w:rPr>
      </w:pPr>
      <w:r w:rsidRPr="00672179">
        <w:rPr>
          <w:rFonts w:ascii="Helvetica 55 Roman" w:hAnsi="Helvetica 55 Roman" w:cs="Helvetica Neue"/>
          <w:sz w:val="20"/>
          <w:szCs w:val="20"/>
          <w:u w:val="single"/>
          <w:lang w:val="en-GB"/>
        </w:rPr>
        <w:t>About Orange in Luxembourg</w:t>
      </w:r>
      <w:r w:rsidRPr="00672179">
        <w:rPr>
          <w:rFonts w:ascii="MS Mincho" w:eastAsia="MS Mincho" w:hAnsi="MS Mincho" w:cs="MS Mincho" w:hint="eastAsia"/>
          <w:sz w:val="20"/>
          <w:szCs w:val="20"/>
          <w:lang w:val="en-GB"/>
        </w:rPr>
        <w:t> </w:t>
      </w:r>
    </w:p>
    <w:p w14:paraId="463DC47C" w14:textId="77777777" w:rsidR="00B01DDF" w:rsidRPr="00672179" w:rsidRDefault="00B01DDF" w:rsidP="00B01DDF">
      <w:pPr>
        <w:widowControl w:val="0"/>
        <w:autoSpaceDE w:val="0"/>
        <w:autoSpaceDN w:val="0"/>
        <w:adjustRightInd w:val="0"/>
        <w:spacing w:after="240"/>
        <w:rPr>
          <w:rFonts w:ascii="Helvetica 55 Roman" w:hAnsi="Helvetica 55 Roman" w:cs="Times"/>
          <w:sz w:val="20"/>
          <w:szCs w:val="20"/>
          <w:lang w:val="en-GB"/>
        </w:rPr>
      </w:pPr>
      <w:r w:rsidRPr="00672179">
        <w:rPr>
          <w:rFonts w:ascii="Helvetica 55 Roman" w:hAnsi="Helvetica 55 Roman" w:cs="Helvetica Neue"/>
          <w:sz w:val="20"/>
          <w:szCs w:val="20"/>
          <w:lang w:val="en-GB"/>
        </w:rPr>
        <w:t xml:space="preserve">Orange Communications Luxembourg </w:t>
      </w:r>
      <w:proofErr w:type="spellStart"/>
      <w:r w:rsidRPr="00672179">
        <w:rPr>
          <w:rFonts w:ascii="Helvetica 55 Roman" w:hAnsi="Helvetica 55 Roman" w:cs="Helvetica Neue"/>
          <w:sz w:val="20"/>
          <w:szCs w:val="20"/>
          <w:lang w:val="en-GB"/>
        </w:rPr>
        <w:t>s.a.</w:t>
      </w:r>
      <w:proofErr w:type="spellEnd"/>
      <w:r w:rsidRPr="00672179">
        <w:rPr>
          <w:rFonts w:ascii="Helvetica 55 Roman" w:hAnsi="Helvetica 55 Roman" w:cs="Helvetica Neue"/>
          <w:sz w:val="20"/>
          <w:szCs w:val="20"/>
          <w:lang w:val="en-GB"/>
        </w:rPr>
        <w:t xml:space="preserve"> is a fully converged telecom operator offering for both, the B2B and B2C market, fixed, mobile and ADSL services in Luxembourg. The company is a 100% subsidiary of </w:t>
      </w:r>
      <w:proofErr w:type="spellStart"/>
      <w:r w:rsidRPr="00672179">
        <w:rPr>
          <w:rFonts w:ascii="Helvetica 55 Roman" w:hAnsi="Helvetica 55 Roman" w:cs="Helvetica Neue"/>
          <w:sz w:val="20"/>
          <w:szCs w:val="20"/>
          <w:lang w:val="en-GB"/>
        </w:rPr>
        <w:t>Mobistar</w:t>
      </w:r>
      <w:proofErr w:type="spellEnd"/>
      <w:r w:rsidRPr="00672179">
        <w:rPr>
          <w:rFonts w:ascii="Helvetica 55 Roman" w:hAnsi="Helvetica 55 Roman" w:cs="Helvetica Neue"/>
          <w:sz w:val="20"/>
          <w:szCs w:val="20"/>
          <w:lang w:val="en-GB"/>
        </w:rPr>
        <w:t xml:space="preserve"> </w:t>
      </w:r>
      <w:proofErr w:type="spellStart"/>
      <w:r w:rsidRPr="00672179">
        <w:rPr>
          <w:rFonts w:ascii="Helvetica 55 Roman" w:hAnsi="Helvetica 55 Roman" w:cs="Helvetica Neue"/>
          <w:sz w:val="20"/>
          <w:szCs w:val="20"/>
          <w:lang w:val="en-GB"/>
        </w:rPr>
        <w:t>s.a.</w:t>
      </w:r>
      <w:proofErr w:type="spellEnd"/>
      <w:r w:rsidRPr="00672179">
        <w:rPr>
          <w:rFonts w:ascii="Helvetica 55 Roman" w:hAnsi="Helvetica 55 Roman" w:cs="Helvetica Neue"/>
          <w:sz w:val="20"/>
          <w:szCs w:val="20"/>
          <w:lang w:val="en-GB"/>
        </w:rPr>
        <w:t xml:space="preserve"> and has been operating on the Luxembourgish telecom market since May 2004.</w:t>
      </w:r>
    </w:p>
    <w:p w14:paraId="4AA797B9" w14:textId="77777777" w:rsidR="00B01DDF" w:rsidRPr="00672179" w:rsidRDefault="00B01DDF" w:rsidP="00B01DDF">
      <w:pPr>
        <w:widowControl w:val="0"/>
        <w:autoSpaceDE w:val="0"/>
        <w:autoSpaceDN w:val="0"/>
        <w:adjustRightInd w:val="0"/>
        <w:spacing w:after="240"/>
        <w:rPr>
          <w:rFonts w:ascii="Helvetica 55 Roman" w:hAnsi="Helvetica 55 Roman" w:cs="Times"/>
          <w:sz w:val="20"/>
          <w:szCs w:val="20"/>
          <w:lang w:val="en-GB"/>
        </w:rPr>
      </w:pPr>
      <w:r w:rsidRPr="00672179">
        <w:rPr>
          <w:rFonts w:ascii="Helvetica 55 Roman" w:hAnsi="Helvetica 55 Roman" w:cs="Helvetica Neue"/>
          <w:sz w:val="20"/>
          <w:szCs w:val="20"/>
          <w:lang w:val="en-GB"/>
        </w:rPr>
        <w:t>Contact: thierry.iafrate@orangeluxembourg.lu</w:t>
      </w:r>
    </w:p>
    <w:p w14:paraId="1A746369" w14:textId="77777777" w:rsidR="00DF1464" w:rsidRPr="00672179" w:rsidRDefault="00DF1464" w:rsidP="00DF1464">
      <w:pPr>
        <w:shd w:val="clear" w:color="auto" w:fill="FFFFFF"/>
        <w:spacing w:before="100" w:beforeAutospacing="1" w:after="180" w:line="336" w:lineRule="atLeast"/>
        <w:outlineLvl w:val="2"/>
        <w:rPr>
          <w:rFonts w:ascii="Helvetica 55 Roman" w:hAnsi="Helvetica 55 Roman"/>
          <w:lang w:val="en-GB"/>
        </w:rPr>
      </w:pPr>
    </w:p>
    <w:p w14:paraId="7E166664" w14:textId="77777777" w:rsidR="007228C5" w:rsidRPr="00166A50" w:rsidRDefault="007228C5">
      <w:pPr>
        <w:rPr>
          <w:rFonts w:ascii="Mobistar Regular" w:hAnsi="Mobistar Regular"/>
          <w:lang w:val="en-GB"/>
        </w:rPr>
      </w:pPr>
    </w:p>
    <w:sectPr w:rsidR="007228C5" w:rsidRPr="00166A50" w:rsidSect="00270690">
      <w:pgSz w:w="11907" w:h="16839" w:code="9"/>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BA0A0" w14:textId="77777777" w:rsidR="00736C23" w:rsidRDefault="00736C23" w:rsidP="00DF1464">
      <w:pPr>
        <w:spacing w:after="0" w:line="240" w:lineRule="auto"/>
      </w:pPr>
      <w:r>
        <w:separator/>
      </w:r>
    </w:p>
  </w:endnote>
  <w:endnote w:type="continuationSeparator" w:id="0">
    <w:p w14:paraId="7BD51C66" w14:textId="77777777" w:rsidR="00736C23" w:rsidRDefault="00736C23" w:rsidP="00DF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Neue">
    <w:altName w:val="Bienvenue TT"/>
    <w:charset w:val="00"/>
    <w:family w:val="auto"/>
    <w:pitch w:val="variable"/>
    <w:sig w:usb0="80000067"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 55 Roman">
    <w:panose1 w:val="020B0500000000000000"/>
    <w:charset w:val="00"/>
    <w:family w:val="swiss"/>
    <w:pitch w:val="variable"/>
    <w:sig w:usb0="00000003" w:usb1="00000000" w:usb2="00000000" w:usb3="00000000" w:csb0="00000001" w:csb1="00000000"/>
  </w:font>
  <w:font w:name="Mobistar Regular">
    <w:panose1 w:val="02000503040000060004"/>
    <w:charset w:val="00"/>
    <w:family w:val="modern"/>
    <w:notTrueType/>
    <w:pitch w:val="variable"/>
    <w:sig w:usb0="8000002F" w:usb1="5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75E33" w14:textId="77777777" w:rsidR="00736C23" w:rsidRDefault="00736C23" w:rsidP="00DF1464">
      <w:pPr>
        <w:spacing w:after="0" w:line="240" w:lineRule="auto"/>
      </w:pPr>
      <w:r>
        <w:separator/>
      </w:r>
    </w:p>
  </w:footnote>
  <w:footnote w:type="continuationSeparator" w:id="0">
    <w:p w14:paraId="3FB3FC57" w14:textId="77777777" w:rsidR="00736C23" w:rsidRDefault="00736C23" w:rsidP="00DF1464">
      <w:pPr>
        <w:spacing w:after="0" w:line="240" w:lineRule="auto"/>
      </w:pPr>
      <w:r>
        <w:continuationSeparator/>
      </w:r>
    </w:p>
  </w:footnote>
  <w:footnote w:id="1">
    <w:p w14:paraId="0800AD5C" w14:textId="77777777" w:rsidR="00F22F3F" w:rsidRDefault="00F22F3F" w:rsidP="00672179">
      <w:pPr>
        <w:pStyle w:val="FootnoteText"/>
      </w:pPr>
      <w:r>
        <w:rPr>
          <w:rStyle w:val="FootnoteReference"/>
          <w:noProof/>
        </w:rPr>
        <w:footnoteRef/>
      </w:r>
      <w:r>
        <w:rPr>
          <w:noProof/>
        </w:rPr>
        <w:t xml:space="preserve"> </w:t>
      </w:r>
      <w:r>
        <w:rPr>
          <w:rFonts w:ascii="Mobistar Regular" w:hAnsi="Mobistar Regular"/>
          <w:noProof/>
          <w:sz w:val="16"/>
          <w:szCs w:val="16"/>
        </w:rPr>
        <w:t>The number of active customers no longer includes the ´machine-to-machine´ cards.</w:t>
      </w:r>
    </w:p>
  </w:footnote>
  <w:footnote w:id="2">
    <w:p w14:paraId="1D074AE3" w14:textId="77777777" w:rsidR="00F22F3F" w:rsidRDefault="00F22F3F" w:rsidP="00672179">
      <w:pPr>
        <w:pStyle w:val="BalloonText"/>
        <w:jc w:val="both"/>
        <w:rPr>
          <w:rFonts w:ascii="Mobistar Regular" w:hAnsi="Mobistar Regular"/>
          <w:noProof/>
        </w:rPr>
      </w:pPr>
      <w:r>
        <w:rPr>
          <w:rStyle w:val="FootnoteReference"/>
          <w:rFonts w:ascii="Mobistar Regular" w:hAnsi="Mobistar Regular"/>
          <w:noProof/>
        </w:rPr>
        <w:footnoteRef/>
      </w:r>
      <w:r>
        <w:rPr>
          <w:rFonts w:ascii="Mobistar Regular" w:hAnsi="Mobistar Regular"/>
          <w:noProof/>
        </w:rPr>
        <w:t xml:space="preserve"> Average Revenue Per User (smoothed average of the previous 12 months), excluding MVNOs and M2M cards.</w:t>
      </w:r>
    </w:p>
    <w:p w14:paraId="3BD09D3D" w14:textId="77777777" w:rsidR="00F22F3F" w:rsidRDefault="00F22F3F" w:rsidP="00672179">
      <w:pPr>
        <w:pStyle w:val="BalloonTex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64"/>
    <w:rsid w:val="000D3FA2"/>
    <w:rsid w:val="00166A50"/>
    <w:rsid w:val="001C05B9"/>
    <w:rsid w:val="001F6E80"/>
    <w:rsid w:val="00215EB4"/>
    <w:rsid w:val="00236C11"/>
    <w:rsid w:val="00257280"/>
    <w:rsid w:val="00270690"/>
    <w:rsid w:val="00283CBE"/>
    <w:rsid w:val="0029333B"/>
    <w:rsid w:val="002F39CE"/>
    <w:rsid w:val="00382DF6"/>
    <w:rsid w:val="003A031D"/>
    <w:rsid w:val="003D7CB0"/>
    <w:rsid w:val="00473F51"/>
    <w:rsid w:val="00481315"/>
    <w:rsid w:val="00485F67"/>
    <w:rsid w:val="00510F63"/>
    <w:rsid w:val="00521350"/>
    <w:rsid w:val="00563A51"/>
    <w:rsid w:val="00672179"/>
    <w:rsid w:val="006B78D8"/>
    <w:rsid w:val="006C7E61"/>
    <w:rsid w:val="006E44CB"/>
    <w:rsid w:val="007228C5"/>
    <w:rsid w:val="00736C23"/>
    <w:rsid w:val="00755B30"/>
    <w:rsid w:val="007662D3"/>
    <w:rsid w:val="00832C2B"/>
    <w:rsid w:val="008C02D7"/>
    <w:rsid w:val="008E6EB8"/>
    <w:rsid w:val="0095227B"/>
    <w:rsid w:val="009837D9"/>
    <w:rsid w:val="00991BB1"/>
    <w:rsid w:val="009C7226"/>
    <w:rsid w:val="009F66EC"/>
    <w:rsid w:val="00A27D09"/>
    <w:rsid w:val="00A539E5"/>
    <w:rsid w:val="00A577A7"/>
    <w:rsid w:val="00A745E3"/>
    <w:rsid w:val="00A848FD"/>
    <w:rsid w:val="00AA359B"/>
    <w:rsid w:val="00AB087D"/>
    <w:rsid w:val="00B01DDF"/>
    <w:rsid w:val="00B22111"/>
    <w:rsid w:val="00B6213C"/>
    <w:rsid w:val="00B644A0"/>
    <w:rsid w:val="00BA7DB6"/>
    <w:rsid w:val="00BD39CE"/>
    <w:rsid w:val="00C3342F"/>
    <w:rsid w:val="00CE355E"/>
    <w:rsid w:val="00D91963"/>
    <w:rsid w:val="00DF1464"/>
    <w:rsid w:val="00E3027C"/>
    <w:rsid w:val="00E8191C"/>
    <w:rsid w:val="00F16AB2"/>
    <w:rsid w:val="00F22F3F"/>
    <w:rsid w:val="00F43E86"/>
    <w:rsid w:val="00FF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5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F1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1464"/>
    <w:rPr>
      <w:rFonts w:ascii="Tahoma" w:hAnsi="Tahoma" w:cs="Tahoma"/>
      <w:sz w:val="16"/>
      <w:szCs w:val="16"/>
    </w:rPr>
  </w:style>
  <w:style w:type="paragraph" w:styleId="FootnoteText">
    <w:name w:val="footnote text"/>
    <w:basedOn w:val="Normal"/>
    <w:link w:val="FootnoteTextChar"/>
    <w:uiPriority w:val="99"/>
    <w:semiHidden/>
    <w:unhideWhenUsed/>
    <w:rsid w:val="00DF146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1464"/>
    <w:rPr>
      <w:rFonts w:ascii="Times New Roman" w:hAnsi="Times New Roman" w:cs="Times New Roman"/>
      <w:sz w:val="20"/>
      <w:szCs w:val="20"/>
    </w:rPr>
  </w:style>
  <w:style w:type="paragraph" w:styleId="Header">
    <w:name w:val="header"/>
    <w:basedOn w:val="Normal"/>
    <w:link w:val="HeaderChar"/>
    <w:unhideWhenUsed/>
    <w:rsid w:val="00DF1464"/>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rsid w:val="00DF1464"/>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DF1464"/>
    <w:pPr>
      <w:spacing w:after="0" w:line="240" w:lineRule="auto"/>
    </w:pPr>
    <w:rPr>
      <w:rFonts w:ascii="Arial" w:hAnsi="Arial" w:cs="Arial"/>
      <w:i/>
      <w:iCs/>
      <w:sz w:val="16"/>
      <w:szCs w:val="16"/>
      <w:lang w:eastAsia="nl-NL"/>
    </w:rPr>
  </w:style>
  <w:style w:type="character" w:customStyle="1" w:styleId="BodyTextIndentChar">
    <w:name w:val="Body Text Indent Char"/>
    <w:basedOn w:val="DefaultParagraphFont"/>
    <w:link w:val="BodyTextIndent"/>
    <w:uiPriority w:val="99"/>
    <w:rsid w:val="00DF1464"/>
    <w:rPr>
      <w:rFonts w:ascii="Arial" w:hAnsi="Arial" w:cs="Arial"/>
      <w:i/>
      <w:iCs/>
      <w:sz w:val="16"/>
      <w:szCs w:val="16"/>
      <w:lang w:eastAsia="nl-NL"/>
    </w:rPr>
  </w:style>
  <w:style w:type="character" w:styleId="FootnoteReference">
    <w:name w:val="footnote reference"/>
    <w:basedOn w:val="DefaultParagraphFont"/>
    <w:uiPriority w:val="99"/>
    <w:semiHidden/>
    <w:unhideWhenUsed/>
    <w:rsid w:val="00DF14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F1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1464"/>
    <w:rPr>
      <w:rFonts w:ascii="Tahoma" w:hAnsi="Tahoma" w:cs="Tahoma"/>
      <w:sz w:val="16"/>
      <w:szCs w:val="16"/>
    </w:rPr>
  </w:style>
  <w:style w:type="paragraph" w:styleId="FootnoteText">
    <w:name w:val="footnote text"/>
    <w:basedOn w:val="Normal"/>
    <w:link w:val="FootnoteTextChar"/>
    <w:uiPriority w:val="99"/>
    <w:semiHidden/>
    <w:unhideWhenUsed/>
    <w:rsid w:val="00DF146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1464"/>
    <w:rPr>
      <w:rFonts w:ascii="Times New Roman" w:hAnsi="Times New Roman" w:cs="Times New Roman"/>
      <w:sz w:val="20"/>
      <w:szCs w:val="20"/>
    </w:rPr>
  </w:style>
  <w:style w:type="paragraph" w:styleId="Header">
    <w:name w:val="header"/>
    <w:basedOn w:val="Normal"/>
    <w:link w:val="HeaderChar"/>
    <w:unhideWhenUsed/>
    <w:rsid w:val="00DF1464"/>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rsid w:val="00DF1464"/>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DF1464"/>
    <w:pPr>
      <w:spacing w:after="0" w:line="240" w:lineRule="auto"/>
    </w:pPr>
    <w:rPr>
      <w:rFonts w:ascii="Arial" w:hAnsi="Arial" w:cs="Arial"/>
      <w:i/>
      <w:iCs/>
      <w:sz w:val="16"/>
      <w:szCs w:val="16"/>
      <w:lang w:eastAsia="nl-NL"/>
    </w:rPr>
  </w:style>
  <w:style w:type="character" w:customStyle="1" w:styleId="BodyTextIndentChar">
    <w:name w:val="Body Text Indent Char"/>
    <w:basedOn w:val="DefaultParagraphFont"/>
    <w:link w:val="BodyTextIndent"/>
    <w:uiPriority w:val="99"/>
    <w:rsid w:val="00DF1464"/>
    <w:rPr>
      <w:rFonts w:ascii="Arial" w:hAnsi="Arial" w:cs="Arial"/>
      <w:i/>
      <w:iCs/>
      <w:sz w:val="16"/>
      <w:szCs w:val="16"/>
      <w:lang w:eastAsia="nl-NL"/>
    </w:rPr>
  </w:style>
  <w:style w:type="character" w:styleId="FootnoteReference">
    <w:name w:val="footnote reference"/>
    <w:basedOn w:val="DefaultParagraphFont"/>
    <w:uiPriority w:val="99"/>
    <w:semiHidden/>
    <w:unhideWhenUsed/>
    <w:rsid w:val="00DF1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ORANGE Group</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IAFRATE Thierry</dc:creator>
  <cp:keywords/>
  <dc:description/>
  <cp:lastModifiedBy>IAFRATE Thierry</cp:lastModifiedBy>
  <cp:revision>2</cp:revision>
  <cp:lastPrinted>2013-07-17T12:05:00Z</cp:lastPrinted>
  <dcterms:created xsi:type="dcterms:W3CDTF">2014-02-26T18:17:00Z</dcterms:created>
  <dcterms:modified xsi:type="dcterms:W3CDTF">2014-02-26T18:17:00Z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-598141591</vt:i4>
  </property>
  <property fmtid="{D5CDD505-2E9C-101B-9397-08002B2CF9AE}" pid="3" name="_NewReviewCycle">
    <vt:lpwstr/>
  </property>
  <property fmtid="{D5CDD505-2E9C-101B-9397-08002B2CF9AE}" pid="4" name="_EmailSubject">
    <vt:lpwstr>YoY 2013 figures - EMBARGO jeudi 27 fevrier/thirsday 27 February</vt:lpwstr>
  </property>
  <property fmtid="{D5CDD505-2E9C-101B-9397-08002B2CF9AE}" pid="5" name="_AuthorEmail">
    <vt:lpwstr>Thierry.IAFRATE@orangeluxembourg.lu</vt:lpwstr>
  </property>
  <property fmtid="{D5CDD505-2E9C-101B-9397-08002B2CF9AE}" pid="6" name="_AuthorEmailDisplayName">
    <vt:lpwstr>Thierry IAFRATE</vt:lpwstr>
  </property>
</Properties>
</file>