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E5" w:rsidRDefault="003B0B3E" w:rsidP="00C47AE5">
      <w:pPr>
        <w:spacing w:after="0"/>
        <w:jc w:val="both"/>
        <w:rPr>
          <w:rFonts w:ascii="Futura Lt BT" w:hAnsi="Futura Lt BT" w:cs="Times-Italic"/>
          <w:b/>
          <w:i/>
          <w:iCs/>
          <w:color w:val="000000"/>
          <w:sz w:val="24"/>
          <w:szCs w:val="24"/>
        </w:rPr>
      </w:pPr>
      <w:r>
        <w:rPr>
          <w:rFonts w:ascii="Futura Lt BT" w:hAnsi="Futura Lt BT" w:cs="Times-Italic"/>
          <w:b/>
          <w:i/>
          <w:iCs/>
          <w:color w:val="000000"/>
          <w:sz w:val="24"/>
          <w:szCs w:val="24"/>
        </w:rPr>
        <w:t xml:space="preserve">Le </w:t>
      </w:r>
      <w:r w:rsidR="00C47AE5" w:rsidRPr="007F2CE4">
        <w:rPr>
          <w:rFonts w:ascii="Futura Lt BT" w:hAnsi="Futura Lt BT" w:cs="Times-Italic"/>
          <w:b/>
          <w:i/>
          <w:iCs/>
          <w:color w:val="000000"/>
          <w:sz w:val="24"/>
          <w:szCs w:val="24"/>
        </w:rPr>
        <w:t xml:space="preserve">marché immobilier professionnel à </w:t>
      </w:r>
      <w:r w:rsidR="00821EBE">
        <w:rPr>
          <w:rFonts w:ascii="Futura Lt BT" w:hAnsi="Futura Lt BT" w:cs="Times-Italic"/>
          <w:b/>
          <w:i/>
          <w:iCs/>
          <w:color w:val="000000"/>
          <w:sz w:val="24"/>
          <w:szCs w:val="24"/>
        </w:rPr>
        <w:t xml:space="preserve">Luxembourg </w:t>
      </w:r>
      <w:r>
        <w:rPr>
          <w:rFonts w:ascii="Futura Lt BT" w:hAnsi="Futura Lt BT" w:cs="Times-Italic"/>
          <w:b/>
          <w:i/>
          <w:iCs/>
          <w:color w:val="000000"/>
          <w:sz w:val="24"/>
          <w:szCs w:val="24"/>
        </w:rPr>
        <w:t>-  une pénurie de surfaces ?</w:t>
      </w:r>
    </w:p>
    <w:p w:rsidR="00821EBE" w:rsidRPr="007F2CE4" w:rsidRDefault="00821EBE" w:rsidP="00821EBE">
      <w:pPr>
        <w:spacing w:after="0"/>
        <w:jc w:val="both"/>
        <w:rPr>
          <w:rFonts w:ascii="Futura Lt BT" w:hAnsi="Futura Lt BT" w:cs="Times-Italic"/>
          <w:b/>
          <w:i/>
          <w:iCs/>
          <w:color w:val="000000"/>
          <w:sz w:val="24"/>
          <w:szCs w:val="24"/>
        </w:rPr>
      </w:pPr>
      <w:r>
        <w:rPr>
          <w:rFonts w:ascii="Futura Lt BT" w:hAnsi="Futura Lt BT" w:cs="Times-Italic"/>
          <w:b/>
          <w:i/>
          <w:iCs/>
          <w:color w:val="000000"/>
          <w:sz w:val="24"/>
          <w:szCs w:val="24"/>
        </w:rPr>
        <w:t>CBRE continue à gagner des parts de marché</w:t>
      </w:r>
    </w:p>
    <w:p w:rsidR="000E23B1" w:rsidRPr="007F2CE4" w:rsidRDefault="000E23B1" w:rsidP="00173651">
      <w:pPr>
        <w:spacing w:after="0"/>
        <w:jc w:val="both"/>
        <w:rPr>
          <w:rFonts w:ascii="Futura Lt BT" w:hAnsi="Futura Lt BT" w:cs="Times-Italic"/>
          <w:b/>
          <w:i/>
          <w:iCs/>
          <w:color w:val="000000"/>
          <w:sz w:val="24"/>
          <w:szCs w:val="24"/>
        </w:rPr>
      </w:pPr>
    </w:p>
    <w:p w:rsidR="00C47AE5" w:rsidRPr="007F2CE4" w:rsidRDefault="00C47AE5" w:rsidP="00C47AE5">
      <w:pPr>
        <w:pStyle w:val="NormalText"/>
        <w:jc w:val="both"/>
        <w:rPr>
          <w:rFonts w:cs="Times New Roman"/>
          <w:color w:val="auto"/>
          <w:sz w:val="24"/>
          <w:szCs w:val="24"/>
          <w:lang w:val="fr-BE"/>
        </w:rPr>
      </w:pPr>
      <w:r w:rsidRPr="007F2CE4">
        <w:rPr>
          <w:rFonts w:cs="Times New Roman"/>
          <w:color w:val="auto"/>
          <w:sz w:val="24"/>
          <w:szCs w:val="24"/>
          <w:lang w:val="fr-BE"/>
        </w:rPr>
        <w:t xml:space="preserve">D’une manière générale le marché immobilier de bureaux au Luxembourg évolue positivement ces dernières années. Le résultat final de l’année 2013 s’élève à environ 151.000 m² pris en occupation. </w:t>
      </w:r>
    </w:p>
    <w:p w:rsidR="00C47AE5" w:rsidRPr="007F2CE4" w:rsidRDefault="00C47AE5" w:rsidP="00C47AE5">
      <w:pPr>
        <w:pStyle w:val="BoldText"/>
        <w:spacing w:line="240" w:lineRule="auto"/>
        <w:jc w:val="both"/>
        <w:rPr>
          <w:rFonts w:ascii="Futura Lt BT" w:hAnsi="Futura Lt BT" w:cs="Times New Roman"/>
          <w:color w:val="auto"/>
          <w:sz w:val="24"/>
          <w:szCs w:val="24"/>
          <w:lang w:val="fr-BE"/>
        </w:rPr>
      </w:pPr>
      <w:r w:rsidRPr="007F2CE4">
        <w:rPr>
          <w:rFonts w:ascii="Futura Lt BT" w:hAnsi="Futura Lt BT" w:cs="Times New Roman"/>
          <w:color w:val="auto"/>
          <w:sz w:val="24"/>
          <w:szCs w:val="24"/>
          <w:lang w:val="fr-BE"/>
        </w:rPr>
        <w:t xml:space="preserve">Avec une prise en occupation de 34.000 m², le résultat du premier trimestre 2014 est supérieur à la moyenne des années 2009 à 2013 (+11%). </w:t>
      </w:r>
    </w:p>
    <w:p w:rsidR="00C47AE5" w:rsidRPr="007F2CE4" w:rsidRDefault="00C47AE5" w:rsidP="00C47AE5">
      <w:pPr>
        <w:spacing w:after="0" w:line="240" w:lineRule="auto"/>
        <w:jc w:val="both"/>
        <w:rPr>
          <w:rFonts w:ascii="Futura Lt BT" w:hAnsi="Futura Lt BT" w:cs="Times New Roman"/>
          <w:sz w:val="24"/>
          <w:szCs w:val="24"/>
        </w:rPr>
      </w:pPr>
      <w:r w:rsidRPr="007F2CE4">
        <w:rPr>
          <w:rFonts w:ascii="Futura Lt BT" w:hAnsi="Futura Lt BT" w:cs="Times New Roman"/>
          <w:sz w:val="24"/>
          <w:szCs w:val="24"/>
        </w:rPr>
        <w:t xml:space="preserve">Un nombre important de transactions </w:t>
      </w:r>
      <w:r w:rsidR="00DC52E5" w:rsidRPr="007F2CE4">
        <w:rPr>
          <w:rFonts w:ascii="Futura Lt BT" w:hAnsi="Futura Lt BT" w:cs="Times New Roman"/>
          <w:sz w:val="24"/>
          <w:szCs w:val="24"/>
        </w:rPr>
        <w:t>de petite taille a été réalisé. L</w:t>
      </w:r>
      <w:r w:rsidRPr="007F2CE4">
        <w:rPr>
          <w:rFonts w:ascii="Futura Lt BT" w:hAnsi="Futura Lt BT" w:cs="Times New Roman"/>
          <w:sz w:val="24"/>
          <w:szCs w:val="24"/>
        </w:rPr>
        <w:t xml:space="preserve">a taille de la transaction moyenne s’élève à environ 450 m². Le volume d’investissement a déjà atteint 315 Mio EUR en ce début d’année ce qui représente environ 40% du volume d’investissement de l’année 2013 et montre l’activité croissante dans ce secteur. </w:t>
      </w:r>
    </w:p>
    <w:p w:rsidR="00C47AE5" w:rsidRPr="007F2CE4" w:rsidRDefault="00C47AE5" w:rsidP="00C47AE5">
      <w:pPr>
        <w:pStyle w:val="BoldText"/>
        <w:jc w:val="both"/>
        <w:rPr>
          <w:rFonts w:ascii="Futura Lt BT" w:hAnsi="Futura Lt BT" w:cs="Times New Roman"/>
          <w:color w:val="auto"/>
          <w:sz w:val="24"/>
          <w:szCs w:val="24"/>
          <w:lang w:val="fr-BE"/>
        </w:rPr>
      </w:pPr>
      <w:r w:rsidRPr="007F2CE4">
        <w:rPr>
          <w:rFonts w:ascii="Futura Lt BT" w:hAnsi="Futura Lt BT" w:cs="Times New Roman"/>
          <w:color w:val="auto"/>
          <w:sz w:val="24"/>
          <w:szCs w:val="24"/>
          <w:lang w:val="fr-BE"/>
        </w:rPr>
        <w:t>L’offre locative continue à baisser. Environ 27.000 m² des surfaces livrées en 2013 étaient encore disponibles à la fin de l’année 2013, le reste ayant déjà fait l’objet de prélocations ou de développements pour occupation propre. Pour 2014 les chiffres totaux sont plus élevés, mais les surfaces disponibles restent très limitées: environ 175.000 m² de nouvelles surfaces devraient arriver sur le marché, mais uniquement 13.000 m² (</w:t>
      </w:r>
      <w:r w:rsidR="00BA6874">
        <w:rPr>
          <w:rFonts w:ascii="Futura Lt BT" w:hAnsi="Futura Lt BT" w:cs="Times New Roman"/>
          <w:color w:val="auto"/>
          <w:sz w:val="24"/>
          <w:szCs w:val="24"/>
          <w:lang w:val="fr-BE"/>
        </w:rPr>
        <w:t xml:space="preserve">soit moins de </w:t>
      </w:r>
      <w:r w:rsidRPr="007F2CE4">
        <w:rPr>
          <w:rFonts w:ascii="Futura Lt BT" w:hAnsi="Futura Lt BT" w:cs="Times New Roman"/>
          <w:color w:val="auto"/>
          <w:sz w:val="24"/>
          <w:szCs w:val="24"/>
          <w:lang w:val="fr-BE"/>
        </w:rPr>
        <w:t>7,5%) restent à disposition pour des nouveaux occupants. Le nombre de nouvelles surfaces disponibles est et sera limité au moins jusqu’à la fin 2015.</w:t>
      </w:r>
    </w:p>
    <w:p w:rsidR="00C47AE5" w:rsidRPr="007F2CE4" w:rsidRDefault="00C47AE5" w:rsidP="00C47AE5">
      <w:pPr>
        <w:pStyle w:val="BoldText"/>
        <w:jc w:val="both"/>
        <w:rPr>
          <w:rFonts w:ascii="Futura Lt BT" w:hAnsi="Futura Lt BT" w:cs="Times New Roman"/>
          <w:color w:val="auto"/>
          <w:sz w:val="24"/>
          <w:szCs w:val="24"/>
          <w:lang w:val="fr-BE"/>
        </w:rPr>
      </w:pPr>
      <w:r w:rsidRPr="007F2CE4">
        <w:rPr>
          <w:rFonts w:ascii="Futura Lt BT" w:hAnsi="Futura Lt BT" w:cs="Times New Roman"/>
          <w:color w:val="auto"/>
          <w:sz w:val="24"/>
          <w:szCs w:val="24"/>
          <w:lang w:val="fr-BE"/>
        </w:rPr>
        <w:t>Les occupants prennent conscience de cette diminution des espaces disponibles tant au travers d’un choix qui se restreint que par des conditions de location moins attrayantes qu’auparavant. Les propriétaires sont les gagnants</w:t>
      </w:r>
      <w:r w:rsidR="00BA6874">
        <w:rPr>
          <w:rFonts w:ascii="Futura Lt BT" w:hAnsi="Futura Lt BT" w:cs="Times New Roman"/>
          <w:color w:val="auto"/>
          <w:sz w:val="24"/>
          <w:szCs w:val="24"/>
          <w:lang w:val="fr-BE"/>
        </w:rPr>
        <w:t xml:space="preserve"> dans cette dynamique</w:t>
      </w:r>
      <w:r w:rsidRPr="007F2CE4">
        <w:rPr>
          <w:rFonts w:ascii="Futura Lt BT" w:hAnsi="Futura Lt BT" w:cs="Times New Roman"/>
          <w:color w:val="auto"/>
          <w:sz w:val="24"/>
          <w:szCs w:val="24"/>
          <w:lang w:val="fr-BE"/>
        </w:rPr>
        <w:t xml:space="preserve">: même les bâtiments qui étaient vacants pendant plusieurs mois voire années se remplissent progressivement. Certains propriétaires réagissent à ce changement de tendance, augmentent les loyers et réduisent les gratuités octroyés aux locataires. Les occupants seraient bien avisés de réfléchir à temps à des éventuels processus de relocalisation, pour ne pas se retrouver dans une situation où ils ne bénéficient que de peu de marge de manœuvre. </w:t>
      </w:r>
    </w:p>
    <w:p w:rsidR="00DC6131" w:rsidRPr="007F2CE4" w:rsidRDefault="00DC6131" w:rsidP="00173651">
      <w:pPr>
        <w:spacing w:after="0"/>
        <w:jc w:val="both"/>
        <w:rPr>
          <w:rFonts w:ascii="Futura Lt BT" w:hAnsi="Futura Lt BT" w:cs="Times-Italic"/>
          <w:b/>
          <w:i/>
          <w:iCs/>
          <w:color w:val="000000"/>
          <w:sz w:val="24"/>
          <w:szCs w:val="24"/>
        </w:rPr>
      </w:pPr>
    </w:p>
    <w:p w:rsidR="00A52ADD" w:rsidRPr="007F2CE4" w:rsidRDefault="00A52ADD" w:rsidP="00173651">
      <w:pPr>
        <w:spacing w:after="0" w:line="240" w:lineRule="auto"/>
        <w:jc w:val="both"/>
        <w:rPr>
          <w:rFonts w:ascii="Futura Lt BT" w:hAnsi="Futura Lt BT" w:cs="Times New Roman"/>
          <w:sz w:val="24"/>
          <w:szCs w:val="24"/>
        </w:rPr>
      </w:pPr>
      <w:r w:rsidRPr="007F2CE4">
        <w:rPr>
          <w:rFonts w:ascii="Futura Lt BT" w:hAnsi="Futura Lt BT" w:cs="Times New Roman"/>
          <w:sz w:val="24"/>
          <w:szCs w:val="24"/>
        </w:rPr>
        <w:t xml:space="preserve">CBRE est le leader mondial </w:t>
      </w:r>
      <w:r w:rsidR="003C0314" w:rsidRPr="007F2CE4">
        <w:rPr>
          <w:rFonts w:ascii="Futura Lt BT" w:hAnsi="Futura Lt BT" w:cs="Times New Roman"/>
          <w:sz w:val="24"/>
          <w:szCs w:val="24"/>
        </w:rPr>
        <w:t>dans les activités de</w:t>
      </w:r>
      <w:r w:rsidRPr="007F2CE4">
        <w:rPr>
          <w:rFonts w:ascii="Futura Lt BT" w:hAnsi="Futura Lt BT" w:cs="Times New Roman"/>
          <w:sz w:val="24"/>
          <w:szCs w:val="24"/>
        </w:rPr>
        <w:t xml:space="preserve"> conseil en immobilier d’affaires. L’immobilier d’affaires regroupe </w:t>
      </w:r>
      <w:r w:rsidR="003C0314" w:rsidRPr="007F2CE4">
        <w:rPr>
          <w:rFonts w:ascii="Futura Lt BT" w:hAnsi="Futura Lt BT" w:cs="Times New Roman"/>
          <w:sz w:val="24"/>
          <w:szCs w:val="24"/>
        </w:rPr>
        <w:t xml:space="preserve">entre autres, </w:t>
      </w:r>
      <w:r w:rsidRPr="007F2CE4">
        <w:rPr>
          <w:rFonts w:ascii="Futura Lt BT" w:hAnsi="Futura Lt BT" w:cs="Times New Roman"/>
          <w:sz w:val="24"/>
          <w:szCs w:val="24"/>
        </w:rPr>
        <w:t>les domaines du bureau, du commerce, de la logistique et du semi-industriel. L’équipe luxembourgeoise ayant démarré l’activité en novembre 2008, a plus que doublé</w:t>
      </w:r>
      <w:r w:rsidR="00DD73FA" w:rsidRPr="007F2CE4">
        <w:rPr>
          <w:rFonts w:ascii="Futura Lt BT" w:hAnsi="Futura Lt BT" w:cs="Times New Roman"/>
          <w:sz w:val="24"/>
          <w:szCs w:val="24"/>
        </w:rPr>
        <w:t xml:space="preserve"> entre temps</w:t>
      </w:r>
      <w:r w:rsidRPr="007F2CE4">
        <w:rPr>
          <w:rFonts w:ascii="Futura Lt BT" w:hAnsi="Futura Lt BT" w:cs="Times New Roman"/>
          <w:sz w:val="24"/>
          <w:szCs w:val="24"/>
        </w:rPr>
        <w:t xml:space="preserve">. </w:t>
      </w:r>
      <w:r w:rsidR="00DD73FA" w:rsidRPr="007F2CE4">
        <w:rPr>
          <w:rFonts w:ascii="Futura Lt BT" w:hAnsi="Futura Lt BT" w:cs="Times New Roman"/>
          <w:sz w:val="24"/>
          <w:szCs w:val="24"/>
        </w:rPr>
        <w:t>Aujourd’hui l</w:t>
      </w:r>
      <w:r w:rsidR="000E23B1" w:rsidRPr="007F2CE4">
        <w:rPr>
          <w:rFonts w:ascii="Futura Lt BT" w:hAnsi="Futura Lt BT" w:cs="Times New Roman"/>
          <w:sz w:val="24"/>
          <w:szCs w:val="24"/>
        </w:rPr>
        <w:t xml:space="preserve">’équipe se compose  de </w:t>
      </w:r>
      <w:r w:rsidR="00BA6874">
        <w:rPr>
          <w:rFonts w:ascii="Futura Lt BT" w:hAnsi="Futura Lt BT" w:cs="Times New Roman"/>
          <w:sz w:val="24"/>
          <w:szCs w:val="24"/>
        </w:rPr>
        <w:t>10</w:t>
      </w:r>
      <w:r w:rsidR="000E23B1" w:rsidRPr="007F2CE4">
        <w:rPr>
          <w:rFonts w:ascii="Futura Lt BT" w:hAnsi="Futura Lt BT" w:cs="Times New Roman"/>
          <w:sz w:val="24"/>
          <w:szCs w:val="24"/>
        </w:rPr>
        <w:t xml:space="preserve"> personnes</w:t>
      </w:r>
      <w:r w:rsidRPr="007F2CE4">
        <w:rPr>
          <w:rFonts w:ascii="Futura Lt BT" w:hAnsi="Futura Lt BT" w:cs="Times New Roman"/>
          <w:sz w:val="24"/>
          <w:szCs w:val="24"/>
        </w:rPr>
        <w:t>. CBRE propose toute une panoplie de services immobiliers, comme la location et vente, le conseil en investissement, le conseil en dévelo</w:t>
      </w:r>
      <w:r w:rsidR="003C0314" w:rsidRPr="007F2CE4">
        <w:rPr>
          <w:rFonts w:ascii="Futura Lt BT" w:hAnsi="Futura Lt BT" w:cs="Times New Roman"/>
          <w:sz w:val="24"/>
          <w:szCs w:val="24"/>
        </w:rPr>
        <w:t xml:space="preserve">ppement de projets ainsi que l’expertise </w:t>
      </w:r>
      <w:r w:rsidRPr="007F2CE4">
        <w:rPr>
          <w:rFonts w:ascii="Futura Lt BT" w:hAnsi="Futura Lt BT" w:cs="Times New Roman"/>
          <w:sz w:val="24"/>
          <w:szCs w:val="24"/>
        </w:rPr>
        <w:t xml:space="preserve">immobilière. </w:t>
      </w:r>
    </w:p>
    <w:p w:rsidR="001C306B" w:rsidRPr="007F2CE4" w:rsidRDefault="001C306B" w:rsidP="00173651">
      <w:pPr>
        <w:spacing w:after="0" w:line="240" w:lineRule="auto"/>
        <w:jc w:val="both"/>
        <w:rPr>
          <w:rFonts w:ascii="Futura Lt BT" w:hAnsi="Futura Lt BT" w:cs="Times New Roman"/>
          <w:sz w:val="24"/>
          <w:szCs w:val="24"/>
        </w:rPr>
      </w:pPr>
    </w:p>
    <w:p w:rsidR="00A52ADD" w:rsidRPr="007F2CE4" w:rsidRDefault="00A52ADD" w:rsidP="00173651">
      <w:pPr>
        <w:spacing w:after="0" w:line="240" w:lineRule="auto"/>
        <w:jc w:val="both"/>
        <w:rPr>
          <w:rFonts w:ascii="Futura Lt BT" w:hAnsi="Futura Lt BT" w:cs="Times New Roman"/>
          <w:sz w:val="24"/>
          <w:szCs w:val="24"/>
        </w:rPr>
      </w:pPr>
      <w:r w:rsidRPr="007F2CE4">
        <w:rPr>
          <w:rFonts w:ascii="Futura Lt BT" w:hAnsi="Futura Lt BT" w:cs="Times New Roman"/>
          <w:sz w:val="24"/>
          <w:szCs w:val="24"/>
        </w:rPr>
        <w:t>L’année 201</w:t>
      </w:r>
      <w:r w:rsidR="000E23B1" w:rsidRPr="007F2CE4">
        <w:rPr>
          <w:rFonts w:ascii="Futura Lt BT" w:hAnsi="Futura Lt BT" w:cs="Times New Roman"/>
          <w:sz w:val="24"/>
          <w:szCs w:val="24"/>
        </w:rPr>
        <w:t>3</w:t>
      </w:r>
      <w:r w:rsidRPr="007F2CE4">
        <w:rPr>
          <w:rFonts w:ascii="Futura Lt BT" w:hAnsi="Futura Lt BT" w:cs="Times New Roman"/>
          <w:sz w:val="24"/>
          <w:szCs w:val="24"/>
        </w:rPr>
        <w:t xml:space="preserve"> était une </w:t>
      </w:r>
      <w:r w:rsidR="00F00144" w:rsidRPr="007F2CE4">
        <w:rPr>
          <w:rFonts w:ascii="Futura Lt BT" w:hAnsi="Futura Lt BT" w:cs="Times New Roman"/>
          <w:sz w:val="24"/>
          <w:szCs w:val="24"/>
        </w:rPr>
        <w:t xml:space="preserve">excellente année </w:t>
      </w:r>
      <w:r w:rsidRPr="007F2CE4">
        <w:rPr>
          <w:rFonts w:ascii="Futura Lt BT" w:hAnsi="Futura Lt BT" w:cs="Times New Roman"/>
          <w:sz w:val="24"/>
          <w:szCs w:val="24"/>
        </w:rPr>
        <w:t>pour CBRE</w:t>
      </w:r>
      <w:r w:rsidR="000E23B1" w:rsidRPr="007F2CE4">
        <w:rPr>
          <w:rFonts w:ascii="Futura Lt BT" w:hAnsi="Futura Lt BT" w:cs="Times New Roman"/>
          <w:sz w:val="24"/>
          <w:szCs w:val="24"/>
        </w:rPr>
        <w:t>, ayant réussi à se positionner au 2</w:t>
      </w:r>
      <w:r w:rsidR="000E23B1" w:rsidRPr="007F2CE4">
        <w:rPr>
          <w:rFonts w:ascii="Futura Lt BT" w:hAnsi="Futura Lt BT" w:cs="Times New Roman"/>
          <w:sz w:val="24"/>
          <w:szCs w:val="24"/>
          <w:vertAlign w:val="superscript"/>
        </w:rPr>
        <w:t>ème</w:t>
      </w:r>
      <w:r w:rsidR="002E6619" w:rsidRPr="007F2CE4">
        <w:rPr>
          <w:rFonts w:ascii="Futura Lt BT" w:hAnsi="Futura Lt BT" w:cs="Times New Roman"/>
          <w:sz w:val="24"/>
          <w:szCs w:val="24"/>
        </w:rPr>
        <w:t xml:space="preserve"> rang aussi bien au sein du marché de la location qu’au sein du marché de </w:t>
      </w:r>
      <w:r w:rsidR="002E6619" w:rsidRPr="007F2CE4">
        <w:rPr>
          <w:rFonts w:ascii="Futura Lt BT" w:hAnsi="Futura Lt BT" w:cs="Times New Roman"/>
          <w:sz w:val="24"/>
          <w:szCs w:val="24"/>
        </w:rPr>
        <w:lastRenderedPageBreak/>
        <w:t>l’invest</w:t>
      </w:r>
      <w:r w:rsidR="00D12921" w:rsidRPr="007F2CE4">
        <w:rPr>
          <w:rFonts w:ascii="Futura Lt BT" w:hAnsi="Futura Lt BT" w:cs="Times New Roman"/>
          <w:sz w:val="24"/>
          <w:szCs w:val="24"/>
        </w:rPr>
        <w:t>issement</w:t>
      </w:r>
      <w:r w:rsidR="002E6619" w:rsidRPr="007F2CE4">
        <w:rPr>
          <w:rFonts w:ascii="Futura Lt BT" w:hAnsi="Futura Lt BT" w:cs="Times New Roman"/>
          <w:sz w:val="24"/>
          <w:szCs w:val="24"/>
        </w:rPr>
        <w:t>, avec des parts de marché de 21 et de 24%. L</w:t>
      </w:r>
      <w:r w:rsidRPr="007F2CE4">
        <w:rPr>
          <w:rFonts w:ascii="Futura Lt BT" w:hAnsi="Futura Lt BT" w:cs="Times New Roman"/>
          <w:sz w:val="24"/>
          <w:szCs w:val="24"/>
        </w:rPr>
        <w:t>’année 201</w:t>
      </w:r>
      <w:r w:rsidR="000E23B1" w:rsidRPr="007F2CE4">
        <w:rPr>
          <w:rFonts w:ascii="Futura Lt BT" w:hAnsi="Futura Lt BT" w:cs="Times New Roman"/>
          <w:sz w:val="24"/>
          <w:szCs w:val="24"/>
        </w:rPr>
        <w:t>4</w:t>
      </w:r>
      <w:r w:rsidRPr="007F2CE4">
        <w:rPr>
          <w:rFonts w:ascii="Futura Lt BT" w:hAnsi="Futura Lt BT" w:cs="Times New Roman"/>
          <w:sz w:val="24"/>
          <w:szCs w:val="24"/>
        </w:rPr>
        <w:t xml:space="preserve"> </w:t>
      </w:r>
      <w:r w:rsidR="00292346" w:rsidRPr="007F2CE4">
        <w:rPr>
          <w:rFonts w:ascii="Futura Lt BT" w:hAnsi="Futura Lt BT" w:cs="Times New Roman"/>
          <w:sz w:val="24"/>
          <w:szCs w:val="24"/>
        </w:rPr>
        <w:t>s’annonce également très bonne avec de nombreuses opportunités en cours de traitement</w:t>
      </w:r>
      <w:r w:rsidR="00F00144" w:rsidRPr="007F2CE4">
        <w:rPr>
          <w:rFonts w:ascii="Futura Lt BT" w:hAnsi="Futura Lt BT" w:cs="Times New Roman"/>
          <w:sz w:val="24"/>
          <w:szCs w:val="24"/>
        </w:rPr>
        <w:t>.</w:t>
      </w:r>
      <w:r w:rsidRPr="007F2CE4">
        <w:rPr>
          <w:rFonts w:ascii="Futura Lt BT" w:hAnsi="Futura Lt BT" w:cs="Times New Roman"/>
          <w:sz w:val="24"/>
          <w:szCs w:val="24"/>
        </w:rPr>
        <w:t xml:space="preserve"> </w:t>
      </w:r>
      <w:r w:rsidR="002E6619" w:rsidRPr="007F2CE4">
        <w:rPr>
          <w:rFonts w:ascii="Futura Lt BT" w:hAnsi="Futura Lt BT" w:cs="Times New Roman"/>
          <w:sz w:val="24"/>
          <w:szCs w:val="24"/>
        </w:rPr>
        <w:t>A la fin du 1</w:t>
      </w:r>
      <w:r w:rsidR="002E6619" w:rsidRPr="007F2CE4">
        <w:rPr>
          <w:rFonts w:ascii="Futura Lt BT" w:hAnsi="Futura Lt BT" w:cs="Times New Roman"/>
          <w:sz w:val="24"/>
          <w:szCs w:val="24"/>
          <w:vertAlign w:val="superscript"/>
        </w:rPr>
        <w:t>er</w:t>
      </w:r>
      <w:r w:rsidR="002E6619" w:rsidRPr="007F2CE4">
        <w:rPr>
          <w:rFonts w:ascii="Futura Lt BT" w:hAnsi="Futura Lt BT" w:cs="Times New Roman"/>
          <w:sz w:val="24"/>
          <w:szCs w:val="24"/>
        </w:rPr>
        <w:t xml:space="preserve"> trimestre 2014</w:t>
      </w:r>
      <w:r w:rsidR="00292346" w:rsidRPr="007F2CE4">
        <w:rPr>
          <w:rFonts w:ascii="Futura Lt BT" w:hAnsi="Futura Lt BT" w:cs="Times New Roman"/>
          <w:sz w:val="24"/>
          <w:szCs w:val="24"/>
        </w:rPr>
        <w:t>,</w:t>
      </w:r>
      <w:r w:rsidR="002E6619" w:rsidRPr="007F2CE4">
        <w:rPr>
          <w:rFonts w:ascii="Futura Lt BT" w:hAnsi="Futura Lt BT" w:cs="Times New Roman"/>
          <w:sz w:val="24"/>
          <w:szCs w:val="24"/>
        </w:rPr>
        <w:t xml:space="preserve"> CBRE </w:t>
      </w:r>
      <w:r w:rsidR="00DC52E5" w:rsidRPr="007F2CE4">
        <w:rPr>
          <w:rFonts w:ascii="Futura Lt BT" w:hAnsi="Futura Lt BT" w:cs="Times New Roman"/>
          <w:sz w:val="24"/>
          <w:szCs w:val="24"/>
        </w:rPr>
        <w:t>a été</w:t>
      </w:r>
      <w:r w:rsidR="002E6619" w:rsidRPr="007F2CE4">
        <w:rPr>
          <w:rFonts w:ascii="Futura Lt BT" w:hAnsi="Futura Lt BT" w:cs="Times New Roman"/>
          <w:sz w:val="24"/>
          <w:szCs w:val="24"/>
        </w:rPr>
        <w:t xml:space="preserve"> leader au sein du marché de la location </w:t>
      </w:r>
      <w:r w:rsidR="00DC52E5" w:rsidRPr="007F2CE4">
        <w:rPr>
          <w:rFonts w:ascii="Futura Lt BT" w:hAnsi="Futura Lt BT" w:cs="Times New Roman"/>
          <w:sz w:val="24"/>
          <w:szCs w:val="24"/>
        </w:rPr>
        <w:t xml:space="preserve">de bureaux </w:t>
      </w:r>
      <w:r w:rsidR="002E6619" w:rsidRPr="007F2CE4">
        <w:rPr>
          <w:rFonts w:ascii="Futura Lt BT" w:hAnsi="Futura Lt BT" w:cs="Times New Roman"/>
          <w:sz w:val="24"/>
          <w:szCs w:val="24"/>
        </w:rPr>
        <w:t xml:space="preserve">avec </w:t>
      </w:r>
      <w:r w:rsidR="004B1310" w:rsidRPr="007F2CE4">
        <w:rPr>
          <w:rFonts w:ascii="Futura Lt BT" w:hAnsi="Futura Lt BT" w:cs="Times New Roman"/>
          <w:sz w:val="24"/>
          <w:szCs w:val="24"/>
        </w:rPr>
        <w:t xml:space="preserve">une part </w:t>
      </w:r>
      <w:r w:rsidR="002E6619" w:rsidRPr="007F2CE4">
        <w:rPr>
          <w:rFonts w:ascii="Futura Lt BT" w:hAnsi="Futura Lt BT" w:cs="Times New Roman"/>
          <w:sz w:val="24"/>
          <w:szCs w:val="24"/>
        </w:rPr>
        <w:t xml:space="preserve">de marché de </w:t>
      </w:r>
      <w:r w:rsidR="00292346" w:rsidRPr="007F2CE4">
        <w:rPr>
          <w:rFonts w:ascii="Futura Lt BT" w:hAnsi="Futura Lt BT" w:cs="Times New Roman"/>
          <w:sz w:val="24"/>
          <w:szCs w:val="24"/>
        </w:rPr>
        <w:t>près de 30% même si cela reste une performance sur une durée limitée</w:t>
      </w:r>
      <w:r w:rsidR="003B0B3E">
        <w:rPr>
          <w:rFonts w:ascii="Futura Lt BT" w:hAnsi="Futura Lt BT" w:cs="Times New Roman"/>
          <w:sz w:val="24"/>
          <w:szCs w:val="24"/>
        </w:rPr>
        <w:t xml:space="preserve"> et maintient la position 2 au sein du marché de l’investissement</w:t>
      </w:r>
      <w:r w:rsidR="00292346" w:rsidRPr="007F2CE4">
        <w:rPr>
          <w:rFonts w:ascii="Futura Lt BT" w:hAnsi="Futura Lt BT" w:cs="Times New Roman"/>
          <w:sz w:val="24"/>
          <w:szCs w:val="24"/>
        </w:rPr>
        <w:t>.</w:t>
      </w:r>
    </w:p>
    <w:p w:rsidR="00DC52E5" w:rsidRPr="007F2CE4" w:rsidRDefault="00DC52E5" w:rsidP="00173651">
      <w:pPr>
        <w:spacing w:after="0" w:line="240" w:lineRule="auto"/>
        <w:jc w:val="both"/>
        <w:rPr>
          <w:rFonts w:ascii="Futura Lt BT" w:hAnsi="Futura Lt BT" w:cs="Times New Roman"/>
          <w:sz w:val="24"/>
          <w:szCs w:val="24"/>
        </w:rPr>
      </w:pPr>
    </w:p>
    <w:p w:rsidR="00DC52E5" w:rsidRPr="007F2CE4" w:rsidRDefault="00DC52E5" w:rsidP="00173651">
      <w:pPr>
        <w:spacing w:after="0" w:line="240" w:lineRule="auto"/>
        <w:jc w:val="both"/>
        <w:rPr>
          <w:rFonts w:ascii="Futura Lt BT" w:hAnsi="Futura Lt BT" w:cs="Times New Roman"/>
          <w:sz w:val="24"/>
          <w:szCs w:val="24"/>
        </w:rPr>
      </w:pPr>
      <w:r w:rsidRPr="007F2CE4">
        <w:rPr>
          <w:rFonts w:ascii="Futura Lt BT" w:hAnsi="Futura Lt BT"/>
          <w:noProof/>
          <w:szCs w:val="24"/>
          <w:lang w:eastAsia="fr-BE"/>
        </w:rPr>
        <w:drawing>
          <wp:inline distT="0" distB="0" distL="0" distR="0">
            <wp:extent cx="5381625" cy="29146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381625" cy="2914650"/>
                    </a:xfrm>
                    <a:prstGeom prst="rect">
                      <a:avLst/>
                    </a:prstGeom>
                    <a:noFill/>
                    <a:ln w="9525">
                      <a:noFill/>
                      <a:miter lim="800000"/>
                      <a:headEnd/>
                      <a:tailEnd/>
                    </a:ln>
                  </pic:spPr>
                </pic:pic>
              </a:graphicData>
            </a:graphic>
          </wp:inline>
        </w:drawing>
      </w:r>
    </w:p>
    <w:p w:rsidR="00ED4058" w:rsidRDefault="00ED4058" w:rsidP="00173651">
      <w:pPr>
        <w:autoSpaceDE w:val="0"/>
        <w:autoSpaceDN w:val="0"/>
        <w:adjustRightInd w:val="0"/>
        <w:spacing w:after="0" w:line="240" w:lineRule="auto"/>
        <w:rPr>
          <w:rFonts w:ascii="Futura Lt BT" w:hAnsi="Futura Lt BT" w:cs="Times-Italic"/>
          <w:i/>
          <w:iCs/>
          <w:color w:val="000000"/>
          <w:sz w:val="24"/>
          <w:szCs w:val="24"/>
        </w:rPr>
      </w:pPr>
    </w:p>
    <w:p w:rsidR="007543C0" w:rsidRPr="007F2CE4" w:rsidRDefault="003B0B3E" w:rsidP="00173651">
      <w:pPr>
        <w:autoSpaceDE w:val="0"/>
        <w:autoSpaceDN w:val="0"/>
        <w:adjustRightInd w:val="0"/>
        <w:spacing w:after="0" w:line="240" w:lineRule="auto"/>
        <w:rPr>
          <w:rFonts w:ascii="Futura Lt BT" w:hAnsi="Futura Lt BT" w:cs="Times-Italic"/>
          <w:i/>
          <w:iCs/>
          <w:color w:val="000000"/>
          <w:sz w:val="24"/>
          <w:szCs w:val="24"/>
        </w:rPr>
      </w:pPr>
      <w:r w:rsidRPr="003B0B3E">
        <w:rPr>
          <w:noProof/>
          <w:szCs w:val="24"/>
          <w:lang w:eastAsia="fr-BE"/>
        </w:rPr>
        <w:drawing>
          <wp:inline distT="0" distB="0" distL="0" distR="0">
            <wp:extent cx="4581525" cy="308610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581525" cy="3086100"/>
                    </a:xfrm>
                    <a:prstGeom prst="rect">
                      <a:avLst/>
                    </a:prstGeom>
                    <a:noFill/>
                    <a:ln w="9525">
                      <a:noFill/>
                      <a:miter lim="800000"/>
                      <a:headEnd/>
                      <a:tailEnd/>
                    </a:ln>
                  </pic:spPr>
                </pic:pic>
              </a:graphicData>
            </a:graphic>
          </wp:inline>
        </w:drawing>
      </w:r>
    </w:p>
    <w:p w:rsidR="003B0B3E" w:rsidRDefault="003B0B3E" w:rsidP="00DC6131">
      <w:pPr>
        <w:rPr>
          <w:rFonts w:ascii="Futura Lt BT" w:hAnsi="Futura Lt BT" w:cs="Times New Roman"/>
          <w:b/>
          <w:sz w:val="24"/>
          <w:szCs w:val="24"/>
          <w:lang w:val="en-US"/>
        </w:rPr>
      </w:pPr>
    </w:p>
    <w:p w:rsidR="00DC6131" w:rsidRPr="007F2CE4" w:rsidRDefault="00DC6131" w:rsidP="00DC6131">
      <w:pPr>
        <w:rPr>
          <w:rFonts w:ascii="Futura Lt BT" w:hAnsi="Futura Lt BT" w:cs="Times New Roman"/>
          <w:b/>
          <w:sz w:val="24"/>
          <w:szCs w:val="24"/>
          <w:lang w:val="en-US"/>
        </w:rPr>
      </w:pPr>
      <w:r w:rsidRPr="007F2CE4">
        <w:rPr>
          <w:rFonts w:ascii="Futura Lt BT" w:hAnsi="Futura Lt BT" w:cs="Times New Roman"/>
          <w:b/>
          <w:sz w:val="24"/>
          <w:szCs w:val="24"/>
          <w:lang w:val="en-US"/>
        </w:rPr>
        <w:t>About CBRE Group, Inc.</w:t>
      </w:r>
    </w:p>
    <w:p w:rsidR="00DC6131" w:rsidRPr="007F2CE4" w:rsidRDefault="00DC6131" w:rsidP="00C47AE5">
      <w:pPr>
        <w:pStyle w:val="BoldText"/>
        <w:jc w:val="both"/>
        <w:rPr>
          <w:rFonts w:ascii="Futura Lt BT" w:hAnsi="Futura Lt BT" w:cs="Times New Roman"/>
          <w:color w:val="auto"/>
          <w:sz w:val="24"/>
          <w:szCs w:val="24"/>
          <w:lang w:val="fr-BE"/>
        </w:rPr>
      </w:pPr>
      <w:r w:rsidRPr="00821EBE">
        <w:rPr>
          <w:rFonts w:ascii="Futura Lt BT" w:hAnsi="Futura Lt BT" w:cs="Times New Roman"/>
          <w:color w:val="auto"/>
          <w:sz w:val="24"/>
          <w:szCs w:val="24"/>
          <w:lang w:val="en-US"/>
        </w:rPr>
        <w:t xml:space="preserve">CBRE Group, Inc. (NYSE:CBG), a Fortune 500 and S&amp;P 500 company headquartered in Los Angeles, is the world’s largest commercial real estate services firm. The Company has approximately 34,000 employees (excluding affiliates), and serves real estate owners, investors and occupiers through more than 300 offices (excluding affiliates) worldwide. CBRE offers strategic advice and execution for property sales and leasing; corporate services; property, facilities and project management; mortgage banking; appraisal and valuation; development services; investment management; and research and consulting. </w:t>
      </w:r>
      <w:proofErr w:type="spellStart"/>
      <w:r w:rsidRPr="007F2CE4">
        <w:rPr>
          <w:rFonts w:ascii="Futura Lt BT" w:hAnsi="Futura Lt BT" w:cs="Times New Roman"/>
          <w:color w:val="auto"/>
          <w:sz w:val="24"/>
          <w:szCs w:val="24"/>
          <w:lang w:val="fr-BE"/>
        </w:rPr>
        <w:t>Please</w:t>
      </w:r>
      <w:proofErr w:type="spellEnd"/>
      <w:r w:rsidRPr="007F2CE4">
        <w:rPr>
          <w:rFonts w:ascii="Futura Lt BT" w:hAnsi="Futura Lt BT" w:cs="Times New Roman"/>
          <w:color w:val="auto"/>
          <w:sz w:val="24"/>
          <w:szCs w:val="24"/>
          <w:lang w:val="fr-BE"/>
        </w:rPr>
        <w:t xml:space="preserve"> </w:t>
      </w:r>
      <w:proofErr w:type="spellStart"/>
      <w:r w:rsidRPr="007F2CE4">
        <w:rPr>
          <w:rFonts w:ascii="Futura Lt BT" w:hAnsi="Futura Lt BT" w:cs="Times New Roman"/>
          <w:color w:val="auto"/>
          <w:sz w:val="24"/>
          <w:szCs w:val="24"/>
          <w:lang w:val="fr-BE"/>
        </w:rPr>
        <w:t>visit</w:t>
      </w:r>
      <w:proofErr w:type="spellEnd"/>
      <w:r w:rsidRPr="007F2CE4">
        <w:rPr>
          <w:rFonts w:ascii="Futura Lt BT" w:hAnsi="Futura Lt BT" w:cs="Times New Roman"/>
          <w:color w:val="auto"/>
          <w:sz w:val="24"/>
          <w:szCs w:val="24"/>
          <w:lang w:val="fr-BE"/>
        </w:rPr>
        <w:t xml:space="preserve"> </w:t>
      </w:r>
      <w:proofErr w:type="spellStart"/>
      <w:r w:rsidRPr="007F2CE4">
        <w:rPr>
          <w:rFonts w:ascii="Futura Lt BT" w:hAnsi="Futura Lt BT" w:cs="Times New Roman"/>
          <w:color w:val="auto"/>
          <w:sz w:val="24"/>
          <w:szCs w:val="24"/>
          <w:lang w:val="fr-BE"/>
        </w:rPr>
        <w:t>our</w:t>
      </w:r>
      <w:proofErr w:type="spellEnd"/>
      <w:r w:rsidRPr="007F2CE4">
        <w:rPr>
          <w:rFonts w:ascii="Futura Lt BT" w:hAnsi="Futura Lt BT" w:cs="Times New Roman"/>
          <w:color w:val="auto"/>
          <w:sz w:val="24"/>
          <w:szCs w:val="24"/>
          <w:lang w:val="fr-BE"/>
        </w:rPr>
        <w:t xml:space="preserve"> </w:t>
      </w:r>
      <w:proofErr w:type="spellStart"/>
      <w:r w:rsidRPr="007F2CE4">
        <w:rPr>
          <w:rFonts w:ascii="Futura Lt BT" w:hAnsi="Futura Lt BT" w:cs="Times New Roman"/>
          <w:color w:val="auto"/>
          <w:sz w:val="24"/>
          <w:szCs w:val="24"/>
          <w:lang w:val="fr-BE"/>
        </w:rPr>
        <w:t>website</w:t>
      </w:r>
      <w:proofErr w:type="spellEnd"/>
      <w:r w:rsidRPr="007F2CE4">
        <w:rPr>
          <w:rFonts w:ascii="Futura Lt BT" w:hAnsi="Futura Lt BT" w:cs="Times New Roman"/>
          <w:color w:val="auto"/>
          <w:sz w:val="24"/>
          <w:szCs w:val="24"/>
          <w:lang w:val="fr-BE"/>
        </w:rPr>
        <w:t xml:space="preserve"> </w:t>
      </w:r>
      <w:proofErr w:type="spellStart"/>
      <w:r w:rsidRPr="007F2CE4">
        <w:rPr>
          <w:rFonts w:ascii="Futura Lt BT" w:hAnsi="Futura Lt BT" w:cs="Times New Roman"/>
          <w:color w:val="auto"/>
          <w:sz w:val="24"/>
          <w:szCs w:val="24"/>
          <w:lang w:val="fr-BE"/>
        </w:rPr>
        <w:t>at</w:t>
      </w:r>
      <w:proofErr w:type="spellEnd"/>
      <w:r w:rsidRPr="007F2CE4">
        <w:rPr>
          <w:rFonts w:ascii="Futura Lt BT" w:hAnsi="Futura Lt BT" w:cs="Times New Roman"/>
          <w:color w:val="auto"/>
          <w:sz w:val="24"/>
          <w:szCs w:val="24"/>
          <w:lang w:val="fr-BE"/>
        </w:rPr>
        <w:t xml:space="preserve"> </w:t>
      </w:r>
      <w:hyperlink r:id="rId8" w:history="1">
        <w:r w:rsidRPr="007F2CE4">
          <w:rPr>
            <w:rFonts w:ascii="Futura Lt BT" w:hAnsi="Futura Lt BT" w:cs="Times New Roman"/>
            <w:color w:val="auto"/>
            <w:sz w:val="24"/>
            <w:szCs w:val="24"/>
            <w:lang w:val="fr-BE"/>
          </w:rPr>
          <w:t>www.cbre.lu</w:t>
        </w:r>
      </w:hyperlink>
      <w:r w:rsidRPr="007F2CE4">
        <w:rPr>
          <w:rFonts w:ascii="Futura Lt BT" w:hAnsi="Futura Lt BT" w:cs="Times New Roman"/>
          <w:color w:val="auto"/>
          <w:sz w:val="24"/>
          <w:szCs w:val="24"/>
          <w:lang w:val="fr-BE"/>
        </w:rPr>
        <w:t>.</w:t>
      </w:r>
    </w:p>
    <w:p w:rsidR="00DC6131" w:rsidRPr="007F2CE4" w:rsidRDefault="00DC6131" w:rsidP="00DC6131">
      <w:pPr>
        <w:spacing w:after="120" w:line="240" w:lineRule="auto"/>
        <w:rPr>
          <w:rFonts w:ascii="Futura Lt BT" w:hAnsi="Futura Lt BT" w:cs="Arial"/>
          <w:b/>
          <w:lang w:val="nl-BE"/>
        </w:rPr>
      </w:pPr>
    </w:p>
    <w:p w:rsidR="00DC6131" w:rsidRPr="007F2CE4" w:rsidRDefault="00DC6131" w:rsidP="00DC6131">
      <w:pPr>
        <w:spacing w:after="120" w:line="240" w:lineRule="auto"/>
        <w:rPr>
          <w:rFonts w:ascii="Futura Lt BT" w:hAnsi="Futura Lt BT" w:cs="Times New Roman"/>
          <w:sz w:val="24"/>
          <w:szCs w:val="24"/>
        </w:rPr>
      </w:pPr>
      <w:r w:rsidRPr="007F2CE4">
        <w:rPr>
          <w:rFonts w:ascii="Futura Lt BT" w:hAnsi="Futura Lt BT" w:cs="Times New Roman"/>
          <w:sz w:val="24"/>
          <w:szCs w:val="24"/>
        </w:rPr>
        <w:t>Pour plus d’informations veuillez contacter:</w:t>
      </w:r>
    </w:p>
    <w:p w:rsidR="00DC6131" w:rsidRPr="007F2CE4" w:rsidRDefault="00DC6131" w:rsidP="00DC6131">
      <w:pPr>
        <w:spacing w:after="120" w:line="240" w:lineRule="auto"/>
        <w:rPr>
          <w:rFonts w:ascii="Futura Lt BT" w:hAnsi="Futura Lt BT" w:cs="Times New Roman"/>
          <w:sz w:val="24"/>
          <w:szCs w:val="24"/>
        </w:rPr>
      </w:pPr>
      <w:r w:rsidRPr="007F2CE4">
        <w:rPr>
          <w:rFonts w:ascii="Futura Lt BT" w:hAnsi="Futura Lt BT" w:cs="Times New Roman"/>
          <w:sz w:val="24"/>
          <w:szCs w:val="24"/>
        </w:rPr>
        <w:t xml:space="preserve">Véronique Koch, CBRE </w:t>
      </w:r>
    </w:p>
    <w:p w:rsidR="00987951" w:rsidRPr="007F2CE4" w:rsidRDefault="00995A3D" w:rsidP="002B2D7B">
      <w:pPr>
        <w:spacing w:after="120" w:line="240" w:lineRule="auto"/>
        <w:rPr>
          <w:rFonts w:ascii="Futura Lt BT" w:hAnsi="Futura Lt BT" w:cs="Times New Roman"/>
          <w:sz w:val="24"/>
          <w:szCs w:val="24"/>
        </w:rPr>
      </w:pPr>
      <w:hyperlink r:id="rId9" w:history="1">
        <w:r w:rsidR="00DC6131" w:rsidRPr="007F2CE4">
          <w:rPr>
            <w:rFonts w:ascii="Futura Lt BT" w:hAnsi="Futura Lt BT" w:cs="Times New Roman"/>
            <w:sz w:val="24"/>
            <w:szCs w:val="24"/>
          </w:rPr>
          <w:t>Veronique.koch@cbre.com</w:t>
        </w:r>
      </w:hyperlink>
      <w:r w:rsidR="00DC6131" w:rsidRPr="007F2CE4">
        <w:rPr>
          <w:rFonts w:ascii="Futura Lt BT" w:hAnsi="Futura Lt BT" w:cs="Times New Roman"/>
          <w:sz w:val="24"/>
          <w:szCs w:val="24"/>
        </w:rPr>
        <w:br/>
        <w:t>+352 26 26 12 23</w:t>
      </w:r>
    </w:p>
    <w:sectPr w:rsidR="00987951" w:rsidRPr="007F2CE4" w:rsidSect="00DC478C">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602" w:rsidRDefault="00AE0602" w:rsidP="00DC6131">
      <w:pPr>
        <w:spacing w:after="0" w:line="240" w:lineRule="auto"/>
      </w:pPr>
      <w:r>
        <w:separator/>
      </w:r>
    </w:p>
  </w:endnote>
  <w:endnote w:type="continuationSeparator" w:id="0">
    <w:p w:rsidR="00AE0602" w:rsidRDefault="00AE0602" w:rsidP="00DC6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utura Lt BT">
    <w:panose1 w:val="020B0402020204020303"/>
    <w:charset w:val="00"/>
    <w:family w:val="swiss"/>
    <w:pitch w:val="variable"/>
    <w:sig w:usb0="800000AF" w:usb1="1000204A" w:usb2="00000000" w:usb3="00000000" w:csb0="00000011" w:csb1="00000000"/>
  </w:font>
  <w:font w:name="Futura Md BT (OTF) Bold">
    <w:panose1 w:val="00000000000000000000"/>
    <w:charset w:val="00"/>
    <w:family w:val="auto"/>
    <w:notTrueType/>
    <w:pitch w:val="default"/>
    <w:sig w:usb0="00000003" w:usb1="00000000" w:usb2="00000000" w:usb3="00000000" w:csb0="00000001" w:csb1="00000000"/>
  </w:font>
  <w:font w:name="Futura Md BT (OTF) Medium">
    <w:panose1 w:val="00000000000000000000"/>
    <w:charset w:val="00"/>
    <w:family w:val="auto"/>
    <w:notTrueType/>
    <w:pitch w:val="default"/>
    <w:sig w:usb0="00000003" w:usb1="00000000" w:usb2="00000000" w:usb3="00000000" w:csb0="00000001" w:csb1="00000000"/>
  </w:font>
  <w:font w:name="Futura Bk BT">
    <w:panose1 w:val="020B05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602" w:rsidRDefault="00AE0602" w:rsidP="00DC6131">
      <w:pPr>
        <w:spacing w:after="0" w:line="240" w:lineRule="auto"/>
      </w:pPr>
      <w:r>
        <w:separator/>
      </w:r>
    </w:p>
  </w:footnote>
  <w:footnote w:type="continuationSeparator" w:id="0">
    <w:p w:rsidR="00AE0602" w:rsidRDefault="00AE0602" w:rsidP="00DC6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E5" w:rsidRDefault="00DC52E5" w:rsidP="00DC6131">
    <w:pPr>
      <w:pStyle w:val="AddressArea"/>
      <w:ind w:left="552"/>
      <w:jc w:val="right"/>
    </w:pPr>
  </w:p>
  <w:p w:rsidR="00DC52E5" w:rsidRDefault="00DC52E5" w:rsidP="00DC6131">
    <w:pPr>
      <w:pStyle w:val="AddressArea"/>
      <w:ind w:left="552"/>
      <w:jc w:val="right"/>
    </w:pPr>
    <w:r>
      <w:rPr>
        <w:noProof/>
        <w:lang w:val="fr-BE" w:eastAsia="fr-BE"/>
      </w:rPr>
      <w:drawing>
        <wp:anchor distT="0" distB="0" distL="114300" distR="114300" simplePos="0" relativeHeight="251661312" behindDoc="0" locked="0" layoutInCell="1" allowOverlap="1">
          <wp:simplePos x="0" y="0"/>
          <wp:positionH relativeFrom="column">
            <wp:posOffset>4515485</wp:posOffset>
          </wp:positionH>
          <wp:positionV relativeFrom="paragraph">
            <wp:posOffset>43815</wp:posOffset>
          </wp:positionV>
          <wp:extent cx="1265555" cy="351155"/>
          <wp:effectExtent l="0" t="0" r="0" b="0"/>
          <wp:wrapNone/>
          <wp:docPr id="3" name="Picture 3" descr="cbr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e_logo_rg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9747"/>
                  <a:stretch>
                    <a:fillRect/>
                  </a:stretch>
                </pic:blipFill>
                <pic:spPr bwMode="auto">
                  <a:xfrm>
                    <a:off x="0" y="0"/>
                    <a:ext cx="1265555" cy="351155"/>
                  </a:xfrm>
                  <a:prstGeom prst="rect">
                    <a:avLst/>
                  </a:prstGeom>
                  <a:noFill/>
                </pic:spPr>
              </pic:pic>
            </a:graphicData>
          </a:graphic>
        </wp:anchor>
      </w:drawing>
    </w:r>
  </w:p>
  <w:p w:rsidR="00DC52E5" w:rsidRDefault="00DC52E5" w:rsidP="00DC6131">
    <w:pPr>
      <w:pStyle w:val="AddressArea"/>
      <w:ind w:left="552"/>
      <w:jc w:val="right"/>
    </w:pPr>
  </w:p>
  <w:p w:rsidR="00DC52E5" w:rsidRDefault="00DC52E5" w:rsidP="00DC6131">
    <w:pPr>
      <w:pStyle w:val="AddressArea"/>
      <w:ind w:left="552"/>
      <w:jc w:val="right"/>
    </w:pPr>
  </w:p>
  <w:p w:rsidR="00DC52E5" w:rsidRDefault="00DC52E5" w:rsidP="00DC6131">
    <w:pPr>
      <w:pStyle w:val="AddressArea"/>
      <w:ind w:left="552"/>
      <w:jc w:val="right"/>
    </w:pPr>
  </w:p>
  <w:p w:rsidR="00DC52E5" w:rsidRDefault="00DC52E5" w:rsidP="00DC6131">
    <w:pPr>
      <w:pStyle w:val="AddressArea"/>
      <w:ind w:left="552"/>
      <w:jc w:val="right"/>
    </w:pPr>
  </w:p>
  <w:p w:rsidR="00DC52E5" w:rsidRPr="00CD1020" w:rsidRDefault="00995A3D" w:rsidP="00DC6131">
    <w:pPr>
      <w:pStyle w:val="AddressArea"/>
      <w:ind w:left="552"/>
      <w:jc w:val="right"/>
      <w:rPr>
        <w:lang w:val="fr-BE"/>
      </w:rPr>
    </w:pPr>
    <w:r w:rsidRPr="00995A3D">
      <w:rPr>
        <w:noProof/>
        <w:lang w:val="fr-LU" w:eastAsia="fr-LU"/>
      </w:rPr>
      <w:pict>
        <v:shapetype id="_x0000_t202" coordsize="21600,21600" o:spt="202" path="m,l,21600r21600,l21600,xe">
          <v:stroke joinstyle="miter"/>
          <v:path gradientshapeok="t" o:connecttype="rect"/>
        </v:shapetype>
        <v:shape id="Text Box 1" o:spid="_x0000_s3073" type="#_x0000_t202" style="position:absolute;left:0;text-align:left;margin-left:-18pt;margin-top:-8.25pt;width:378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QSsw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" filled="f" stroked="f">
          <v:textbox>
            <w:txbxContent>
              <w:p w:rsidR="00DC52E5" w:rsidRDefault="00DC52E5" w:rsidP="00DC6131">
                <w:pPr>
                  <w:ind w:left="180"/>
                  <w:rPr>
                    <w:rFonts w:ascii="Futura Bk BT" w:hAnsi="Futura Bk BT"/>
                    <w:spacing w:val="118"/>
                    <w:sz w:val="48"/>
                  </w:rPr>
                </w:pPr>
                <w:r>
                  <w:rPr>
                    <w:spacing w:val="118"/>
                    <w:sz w:val="48"/>
                  </w:rPr>
                  <w:t>PRESS RELEASE</w:t>
                </w:r>
              </w:p>
            </w:txbxContent>
          </v:textbox>
        </v:shape>
      </w:pict>
    </w:r>
    <w:r w:rsidR="00DC52E5" w:rsidRPr="00CD1020">
      <w:rPr>
        <w:noProof/>
        <w:sz w:val="20"/>
        <w:lang w:val="fr-BE"/>
      </w:rPr>
      <w:t>CBRE</w:t>
    </w:r>
  </w:p>
  <w:p w:rsidR="00DC52E5" w:rsidRPr="00CD1020" w:rsidRDefault="00DC52E5" w:rsidP="00DC6131">
    <w:pPr>
      <w:pStyle w:val="AddressArea"/>
      <w:ind w:left="552"/>
      <w:jc w:val="right"/>
      <w:rPr>
        <w:lang w:val="fr-BE"/>
      </w:rPr>
    </w:pPr>
    <w:r w:rsidRPr="00CD1020">
      <w:rPr>
        <w:lang w:val="fr-BE"/>
      </w:rPr>
      <w:tab/>
    </w:r>
    <w:r w:rsidRPr="00CD1020">
      <w:rPr>
        <w:lang w:val="fr-BE"/>
      </w:rPr>
      <w:tab/>
    </w:r>
    <w:r w:rsidRPr="00CD1020">
      <w:rPr>
        <w:lang w:val="fr-BE"/>
      </w:rPr>
      <w:tab/>
    </w:r>
    <w:r w:rsidRPr="00CD1020">
      <w:rPr>
        <w:lang w:val="fr-BE"/>
      </w:rPr>
      <w:tab/>
    </w:r>
    <w:r w:rsidRPr="00CD1020">
      <w:rPr>
        <w:lang w:val="fr-BE"/>
      </w:rPr>
      <w:tab/>
    </w:r>
    <w:r w:rsidRPr="00CD1020">
      <w:rPr>
        <w:lang w:val="fr-BE"/>
      </w:rPr>
      <w:tab/>
    </w:r>
    <w:r w:rsidRPr="00CD1020">
      <w:rPr>
        <w:lang w:val="fr-BE"/>
      </w:rPr>
      <w:tab/>
    </w:r>
    <w:r w:rsidRPr="00CD1020">
      <w:rPr>
        <w:lang w:val="fr-BE"/>
      </w:rPr>
      <w:tab/>
    </w:r>
    <w:r w:rsidRPr="00CD1020">
      <w:rPr>
        <w:lang w:val="fr-BE"/>
      </w:rPr>
      <w:tab/>
      <w:t>12 D, Impasse Drosbach</w:t>
    </w:r>
  </w:p>
  <w:p w:rsidR="00DC52E5" w:rsidRPr="009801E6" w:rsidRDefault="00DC52E5" w:rsidP="00DC6131">
    <w:pPr>
      <w:pStyle w:val="AddressArea"/>
      <w:ind w:left="552"/>
      <w:jc w:val="right"/>
      <w:rPr>
        <w:lang w:val="fr-BE"/>
      </w:rPr>
    </w:pPr>
    <w:r w:rsidRPr="009801E6">
      <w:rPr>
        <w:lang w:val="fr-BE"/>
      </w:rPr>
      <w:t>L – 1</w:t>
    </w:r>
    <w:r>
      <w:rPr>
        <w:lang w:val="fr-BE"/>
      </w:rPr>
      <w:t>882</w:t>
    </w:r>
    <w:r w:rsidRPr="009801E6">
      <w:rPr>
        <w:lang w:val="fr-BE"/>
      </w:rPr>
      <w:t xml:space="preserve"> Luxembourg</w:t>
    </w:r>
  </w:p>
  <w:p w:rsidR="00DC52E5" w:rsidRPr="009801E6" w:rsidRDefault="00DC52E5" w:rsidP="00DC6131">
    <w:pPr>
      <w:pStyle w:val="AddressArea"/>
      <w:ind w:left="552"/>
      <w:jc w:val="right"/>
      <w:rPr>
        <w:lang w:val="fr-BE"/>
      </w:rPr>
    </w:pPr>
  </w:p>
  <w:p w:rsidR="00DC52E5" w:rsidRPr="0092742A" w:rsidRDefault="00DC52E5" w:rsidP="00DC6131">
    <w:pPr>
      <w:pStyle w:val="AddressArea"/>
      <w:ind w:left="552"/>
      <w:jc w:val="right"/>
      <w:rPr>
        <w:lang w:val="fr-BE"/>
      </w:rPr>
    </w:pPr>
    <w:r w:rsidRPr="0092742A">
      <w:rPr>
        <w:lang w:val="fr-BE"/>
      </w:rPr>
      <w:t>Tel  +3</w:t>
    </w:r>
    <w:r>
      <w:rPr>
        <w:lang w:val="fr-BE"/>
      </w:rPr>
      <w:t>5</w:t>
    </w:r>
    <w:r w:rsidRPr="0092742A">
      <w:rPr>
        <w:lang w:val="fr-BE"/>
      </w:rPr>
      <w:t xml:space="preserve">2 </w:t>
    </w:r>
    <w:r>
      <w:rPr>
        <w:lang w:val="fr-BE"/>
      </w:rPr>
      <w:t>26 26 12</w:t>
    </w:r>
  </w:p>
  <w:p w:rsidR="00DC52E5" w:rsidRPr="0092742A" w:rsidRDefault="00DC52E5" w:rsidP="00DC6131">
    <w:pPr>
      <w:pStyle w:val="AddressArea"/>
      <w:ind w:left="552"/>
      <w:jc w:val="right"/>
      <w:rPr>
        <w:lang w:val="fr-BE"/>
      </w:rPr>
    </w:pPr>
    <w:r w:rsidRPr="0092742A">
      <w:rPr>
        <w:lang w:val="fr-BE"/>
      </w:rPr>
      <w:t>Fax +</w:t>
    </w:r>
    <w:r>
      <w:rPr>
        <w:lang w:val="fr-BE"/>
      </w:rPr>
      <w:t xml:space="preserve">352 26 26 12 26 </w:t>
    </w:r>
  </w:p>
  <w:p w:rsidR="00DC52E5" w:rsidRPr="0092742A" w:rsidRDefault="00DC52E5" w:rsidP="00DC6131">
    <w:pPr>
      <w:pStyle w:val="AddressArea"/>
      <w:ind w:left="552"/>
      <w:jc w:val="right"/>
      <w:rPr>
        <w:lang w:val="fr-BE"/>
      </w:rPr>
    </w:pPr>
    <w:r>
      <w:rPr>
        <w:lang w:val="fr-BE"/>
      </w:rPr>
      <w:t>www.cbre.lu</w:t>
    </w:r>
  </w:p>
  <w:p w:rsidR="00DC52E5" w:rsidRDefault="00DC52E5">
    <w:pPr>
      <w:pStyle w:val="Header"/>
    </w:pPr>
  </w:p>
  <w:p w:rsidR="00DC52E5" w:rsidRDefault="00DC52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rsids>
    <w:rsidRoot w:val="00ED4058"/>
    <w:rsid w:val="000E23B1"/>
    <w:rsid w:val="001533C2"/>
    <w:rsid w:val="00173651"/>
    <w:rsid w:val="001C306B"/>
    <w:rsid w:val="00231732"/>
    <w:rsid w:val="0026242C"/>
    <w:rsid w:val="0026453D"/>
    <w:rsid w:val="00275CD1"/>
    <w:rsid w:val="002912B9"/>
    <w:rsid w:val="00292346"/>
    <w:rsid w:val="002B2D7B"/>
    <w:rsid w:val="002C0FF7"/>
    <w:rsid w:val="002E6619"/>
    <w:rsid w:val="00335DD4"/>
    <w:rsid w:val="0036631A"/>
    <w:rsid w:val="003B0B3E"/>
    <w:rsid w:val="003C0314"/>
    <w:rsid w:val="003D4713"/>
    <w:rsid w:val="003D5C48"/>
    <w:rsid w:val="004568EC"/>
    <w:rsid w:val="00486DC2"/>
    <w:rsid w:val="004B1310"/>
    <w:rsid w:val="00520D99"/>
    <w:rsid w:val="005A3681"/>
    <w:rsid w:val="005A52C4"/>
    <w:rsid w:val="006B336D"/>
    <w:rsid w:val="006D73F4"/>
    <w:rsid w:val="007543C0"/>
    <w:rsid w:val="00763109"/>
    <w:rsid w:val="007F2CE4"/>
    <w:rsid w:val="00821EBE"/>
    <w:rsid w:val="008809A0"/>
    <w:rsid w:val="008F4D9B"/>
    <w:rsid w:val="009314A7"/>
    <w:rsid w:val="00933BE5"/>
    <w:rsid w:val="00987951"/>
    <w:rsid w:val="00993CF6"/>
    <w:rsid w:val="00995A3D"/>
    <w:rsid w:val="009C12C0"/>
    <w:rsid w:val="00A52ADD"/>
    <w:rsid w:val="00A74A96"/>
    <w:rsid w:val="00A8765E"/>
    <w:rsid w:val="00AA40A0"/>
    <w:rsid w:val="00AE0602"/>
    <w:rsid w:val="00BA6874"/>
    <w:rsid w:val="00BB4BA2"/>
    <w:rsid w:val="00C42112"/>
    <w:rsid w:val="00C47AE5"/>
    <w:rsid w:val="00CB03B6"/>
    <w:rsid w:val="00D11E5C"/>
    <w:rsid w:val="00D12921"/>
    <w:rsid w:val="00D41B1A"/>
    <w:rsid w:val="00DC478C"/>
    <w:rsid w:val="00DC52E5"/>
    <w:rsid w:val="00DC6131"/>
    <w:rsid w:val="00DD73FA"/>
    <w:rsid w:val="00E55325"/>
    <w:rsid w:val="00ED4058"/>
    <w:rsid w:val="00EF743B"/>
    <w:rsid w:val="00F00144"/>
    <w:rsid w:val="00F13FA8"/>
    <w:rsid w:val="00F26D46"/>
    <w:rsid w:val="00F3534C"/>
    <w:rsid w:val="00FF227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7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basedOn w:val="Normal"/>
    <w:uiPriority w:val="99"/>
    <w:rsid w:val="00F00144"/>
    <w:pPr>
      <w:suppressAutoHyphens/>
      <w:autoSpaceDE w:val="0"/>
      <w:autoSpaceDN w:val="0"/>
      <w:adjustRightInd w:val="0"/>
      <w:spacing w:after="0" w:line="240" w:lineRule="atLeast"/>
      <w:textAlignment w:val="center"/>
    </w:pPr>
    <w:rPr>
      <w:rFonts w:ascii="Futura Lt BT" w:hAnsi="Futura Lt BT" w:cs="Futura Lt BT"/>
      <w:color w:val="000000"/>
      <w:sz w:val="20"/>
      <w:szCs w:val="20"/>
      <w:lang w:val="en-GB"/>
    </w:rPr>
  </w:style>
  <w:style w:type="paragraph" w:customStyle="1" w:styleId="TitleText">
    <w:name w:val="TitleText"/>
    <w:basedOn w:val="Normal"/>
    <w:uiPriority w:val="99"/>
    <w:rsid w:val="00F00144"/>
    <w:pPr>
      <w:tabs>
        <w:tab w:val="left" w:pos="2500"/>
      </w:tabs>
      <w:suppressAutoHyphens/>
      <w:autoSpaceDE w:val="0"/>
      <w:autoSpaceDN w:val="0"/>
      <w:adjustRightInd w:val="0"/>
      <w:spacing w:after="0" w:line="240" w:lineRule="atLeast"/>
      <w:ind w:right="589"/>
      <w:textAlignment w:val="center"/>
    </w:pPr>
    <w:rPr>
      <w:rFonts w:ascii="Futura Md BT (OTF) Bold" w:hAnsi="Futura Md BT (OTF) Bold" w:cs="Futura Md BT (OTF) Bold"/>
      <w:b/>
      <w:bCs/>
      <w:color w:val="006E51"/>
      <w:sz w:val="20"/>
      <w:szCs w:val="20"/>
      <w:lang w:val="en-GB"/>
    </w:rPr>
  </w:style>
  <w:style w:type="paragraph" w:customStyle="1" w:styleId="BoldText">
    <w:name w:val="BoldText"/>
    <w:basedOn w:val="Normal"/>
    <w:uiPriority w:val="99"/>
    <w:rsid w:val="00F00144"/>
    <w:pPr>
      <w:suppressAutoHyphens/>
      <w:autoSpaceDE w:val="0"/>
      <w:autoSpaceDN w:val="0"/>
      <w:adjustRightInd w:val="0"/>
      <w:spacing w:after="0" w:line="240" w:lineRule="atLeast"/>
      <w:textAlignment w:val="center"/>
    </w:pPr>
    <w:rPr>
      <w:rFonts w:ascii="Futura Md BT (OTF) Medium" w:hAnsi="Futura Md BT (OTF) Medium" w:cs="Futura Md BT (OTF) Medium"/>
      <w:color w:val="000000"/>
      <w:sz w:val="20"/>
      <w:szCs w:val="20"/>
      <w:lang w:val="en-GB"/>
    </w:rPr>
  </w:style>
  <w:style w:type="paragraph" w:styleId="Header">
    <w:name w:val="header"/>
    <w:basedOn w:val="Normal"/>
    <w:link w:val="HeaderChar"/>
    <w:uiPriority w:val="99"/>
    <w:unhideWhenUsed/>
    <w:rsid w:val="00DC61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131"/>
  </w:style>
  <w:style w:type="paragraph" w:styleId="Footer">
    <w:name w:val="footer"/>
    <w:basedOn w:val="Normal"/>
    <w:link w:val="FooterChar"/>
    <w:uiPriority w:val="99"/>
    <w:semiHidden/>
    <w:unhideWhenUsed/>
    <w:rsid w:val="00DC613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C6131"/>
  </w:style>
  <w:style w:type="paragraph" w:customStyle="1" w:styleId="AddressArea">
    <w:name w:val="Address Area"/>
    <w:basedOn w:val="Normal"/>
    <w:uiPriority w:val="99"/>
    <w:rsid w:val="00DC6131"/>
    <w:pPr>
      <w:spacing w:after="0" w:line="200" w:lineRule="exact"/>
      <w:ind w:left="612"/>
    </w:pPr>
    <w:rPr>
      <w:rFonts w:ascii="Futura Bk BT" w:eastAsia="Times New Roman" w:hAnsi="Futura Bk BT" w:cs="Times New Roman"/>
      <w:color w:val="000000"/>
      <w:spacing w:val="10"/>
      <w:sz w:val="16"/>
      <w:szCs w:val="20"/>
      <w:lang w:val="en-US"/>
    </w:rPr>
  </w:style>
  <w:style w:type="character" w:styleId="Hyperlink">
    <w:name w:val="Hyperlink"/>
    <w:basedOn w:val="DefaultParagraphFont"/>
    <w:uiPriority w:val="99"/>
    <w:rsid w:val="00DC6131"/>
    <w:rPr>
      <w:rFonts w:cs="Times New Roman"/>
      <w:color w:val="0000FF"/>
      <w:u w:val="single"/>
    </w:rPr>
  </w:style>
  <w:style w:type="paragraph" w:styleId="BalloonText">
    <w:name w:val="Balloon Text"/>
    <w:basedOn w:val="Normal"/>
    <w:link w:val="BalloonTextChar"/>
    <w:uiPriority w:val="99"/>
    <w:semiHidden/>
    <w:unhideWhenUsed/>
    <w:rsid w:val="00BA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e.lu"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eronique.koch@cb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vkoch</dc:creator>
  <cp:lastModifiedBy>vkoch</cp:lastModifiedBy>
  <cp:revision>2</cp:revision>
  <dcterms:created xsi:type="dcterms:W3CDTF">2014-05-20T15:12:00Z</dcterms:created>
  <dcterms:modified xsi:type="dcterms:W3CDTF">2014-05-20T15:12:00Z</dcterms:modified>
</cp:coreProperties>
</file>